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ZSU.2015.137 vom 17. Dezember 2015</w:t>
      </w:r>
    </w:p>
    <w:p>
      <w:r>
        <w:t>Ag Zivilgericht, 2015-12-17, DE</w:t>
      </w:r>
    </w:p>
    <w:p>
      <w:r>
        <w:rPr>
          <w:b/>
        </w:rPr>
        <w:t xml:space="preserve">Quelle: </w:t>
      </w:r>
      <w:r>
        <w:t>https://mcp.opencaselaw.ch/entscheid/ag_zivilgericht_ZSU.2015.137</w:t>
      </w:r>
    </w:p>
    <w:p>
      <w:r>
        <w:t>FR: AG_ZIVILGERICHT ZSU.2015.137 du 17 décembre 2015</w:t>
      </w:r>
    </w:p>
    <w:p>
      <w:r>
        <w:t>IT: AG_ZIVILGERICHT ZSU.2015.137 del 17 dicembre 2015</w:t>
      </w:r>
    </w:p>
    <w:p>
      <w:pPr>
        <w:pStyle w:val="Heading2"/>
      </w:pPr>
      <w:r>
        <w:t>Regeste</w:t>
      </w:r>
    </w:p>
    <w:p>
      <w:r>
        <w:t>Art. 176 ZGB Auch wenn Eltern, die ihr Kind während des ehelichen Zusammenlebens je hälftig betreut haben, die gemeinsame Obhut belassen wird, kann ihnen unter Umständen eine Ausdehnung des während des Zusammenlebens ausgeübten Erwerbspensums zugemutet werden, soweit dies zur Deckung eines Mankos notwendig wird. Die eheliche Aufgabenteilung kann dem nicht entgegengehalten werden.</w:t>
      </w:r>
    </w:p>
    <w:p>
      <w:pPr>
        <w:pStyle w:val="Heading2"/>
      </w:pPr>
      <w:r>
        <w:t>Erwägungen</w:t>
      </w:r>
    </w:p>
    <w:p>
      <w:r>
        <w:rPr>
          <w:b/>
        </w:rPr>
        <w:t>E. 10</w:t>
      </w:r>
    </w:p>
    <w:p>
      <w:r>
        <w:t>% auszudehnen (Bei einem Einkommen des Klägers von Fr.3'600.00 [=Fr.3'000.00 : 5 x 6] kann das Manko gedeckt werden): Erstens arbeitet auch die Beklagte bei einer täglichen Arbeitszeit von 5 bzw. 5.25 Stunden in einem Arbeitspensum von rund 60%. Zweitens erzielt der Kläger ein deutlich höheres Stundeneinkommen als die Beklagte. Und drittens ist es ihm als selb ständig erwerbstätigem Masseur leichter möglich, seinen Arbeitsein satz an Tagen und an Wochenenden, an denen L. durch die Beklagte betreut wird, auszudehnen (ohne dass er deshalb in seiner Mög lichkeit, L. hälftig zu betreuen, eingeschränkt würde). Eine Über gangsfrist zur Pensenerhöhung ist nicht zu gewähren, nachdem der Kläger bereits im angefochtenen Urteil zu einer Ausweitung seiner Erwerbstätigkeit (sogar auf 80 %) verpflichtet worden ist.</w:t>
      </w:r>
    </w:p>
    <w:p>
      <w:r>
        <w:t>56 Vorläufige Eintragung eines Bauhandwerkerpfandrechts (Art. 961 Abs. 1 Ziff. 1 ZGB; Art. 837 ff. ZGB) Die Berichtigung einer Eintragung im Grundbuch, welche auf einem Versehen des die Eintragung veranlassenden Gerichts bezüglich der Be zeichnung der Person des Baupfandgläubigers beruht, ist auf den Zeit punkt der ersten (mangelhaften) Anmeldung zurückzubeziehen. Aus dem Entscheid des Obergerichts, 3. Zivilkammer, vom 25. Januar 2016 (ZSU.2015.314) Aus den Erwägungen 4.2. 4.2.1. Das Bauhandwerkerpfandrecht (Art. 837 Abs. 1 Ziff. 3 ZGB) ist der Anspruch auf die Eintragung eines Grundpfandrechts im Grund buch zulasten eines Grundstücks als Pfandobjekt und zur Sicherung einer Forderung. Wird ein Baupfandrecht im Grundbuch eingetragen, ist es eine Grundpfandverschreibung (Art. 824 841 ZGB). Soweit das Bauhandwerkerpfandrecht keinen besonderen gesetzlichen Be stimmungen unterworfen ist, sind subsidiär die Bestimmungen über die Grundpfandverschreibung und subsubsidiär die allgemeinen Be stimmungen über das Grundpfand (Art. 793 823 ZGB) anwendbar (Schumacher, Das Bauhandwerkerpfandrecht, Systematischer Auf bau, 3. Aufl., Zürich/Basel/Genf 2008, Rz. 2 f.). Am Pfandverhältnis ist neben dem Pfandschuldner der Baupfandgläubiger beteiligt. Als solcher wird die Person bezeichnet, auf deren Namen ein Baupfand recht im Grundbuch provisorisch vorgemerkt oder definitiv eingetra gen ist und die deshalb aus einem bestehenden Baupfandrecht berechtigt ist (Schumacher, a.a.O., Rz. 523 und 526).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