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ZOR.2021.49 vom 7. Februar 2022</w:t>
      </w:r>
    </w:p>
    <w:p>
      <w:r>
        <w:t>Ag Zivilgericht, 2022-02-07, DE</w:t>
      </w:r>
    </w:p>
    <w:p>
      <w:r>
        <w:rPr>
          <w:b/>
        </w:rPr>
        <w:t xml:space="preserve">Quelle: </w:t>
      </w:r>
      <w:r>
        <w:t>https://mcp.opencaselaw.ch/entscheid/ag_zivilgericht_ZOR.2021.49</w:t>
      </w:r>
    </w:p>
    <w:p>
      <w:r>
        <w:t>FR: AG_ZIVILGERICHT ZOR.2021.49 du 7 février 2022</w:t>
      </w:r>
    </w:p>
    <w:p>
      <w:r>
        <w:t>IT: AG_ZIVILGERICHT ZOR.2021.49 del 7 febbraio 2022</w:t>
      </w:r>
    </w:p>
    <w:p>
      <w:pPr>
        <w:pStyle w:val="Heading2"/>
      </w:pPr>
      <w:r>
        <w:t>Erwägungen</w:t>
      </w:r>
    </w:p>
    <w:p>
      <w:r>
        <w:rPr>
          <w:b/>
        </w:rPr>
        <w:t>E. 1</w:t>
      </w:r>
    </w:p>
    <w:p>
      <w:r>
        <w:t>Zwischen den Parteien bestand ein Vertrag über die Vermittlung von Versicherungen. Die Beklagte kündigte per 31. Dezember 2014 die Kollek- tivversicherung der C. bei der D. und wechselte per 1. Januar 2015 zur E.. Im Herbst 2014 wurde die Beklagte arbeitsunfähig. Im April 2015 kündigte die E. die Kollektivversicherung der C. wegen einer Anzeigepflichtverlet- zung und forderte von der Beklagten die bereits erbrachten Taggeld- leistungen zurück. Schliesslich liess die Beklagte die Klägerin über Fr. 33'140.00 betreiben.</w:t>
      </w:r>
    </w:p>
    <w:p>
      <w:r>
        <w:rPr>
          <w:b/>
        </w:rPr>
        <w:t>E. 1.1</w:t>
      </w:r>
    </w:p>
    <w:p>
      <w:r>
        <w:t>Mit Berufung anfechtbar sind erstinstanzliche End- und Zwischenentschei- de (Art. 308 Abs. 1 lit. a ZPO). In vermögensrechtlichen Angelegenheiten ist die Berufung nur zulässig, wenn der Streitwert der zuletzt aufrecht- erhaltenen Rechtsbegehren mindestens Fr. 10'000.00 beträgt (Art. 308 Abs. 2 ZPO). Dieser Streitwert ist vorliegend erreicht. Die weiteren Eintre- tensvoraussetzungen sind ebenfalls erfüllt.</w:t>
      </w:r>
    </w:p>
    <w:p>
      <w:r>
        <w:rPr>
          <w:b/>
        </w:rPr>
        <w:t>E. 1.2</w:t>
      </w:r>
    </w:p>
    <w:p>
      <w:r>
        <w:t>Das Berufungsgericht ist weder an die in der Berufung geltend gemachten Argumente der Parteien noch an die Erwägungen der Vorinstanz gebun- den. Es wendet das Recht von Amtes wegen an (Art. 57 ZPO) und verfügt über freie Kognition in Tatfragen, weshalb es die Berufung auch aus einem anderen als dem angerufenen Grund gutheissen oder sie mit einer vom angefochtenen Entscheid abweichenden Begründung abweisen kann. In tatsächlicher Hinsicht ist es nicht an die Feststellungen des erstinstanz- lichen Gerichts gebunden, auch wenn mangels entsprechender Sach- verhaltsrügen der Parteien im Berufungsverfahren der erstinstanzliche Entscheid in der Regel als Grundlage des Rechtsmittelverfahrens dient (BGE 144 III 394 E. 4.1.4; Urteil des Bundesgerichts 4A_397/2016 vom 30. November 2016 E. 3.1). 2.</w:t>
      </w:r>
    </w:p>
    <w:p>
      <w:r>
        <w:rPr>
          <w:b/>
        </w:rPr>
        <w:t>E. 2</w:t>
      </w:r>
    </w:p>
    <w:p>
      <w:r>
        <w:t>Es sei das Betreibungsamt Oftringen-Aarburg anzuweisen, die Betreibung Nr. […] zu löschen und Dritten nicht mehr mitzuteilen.</w:t>
      </w:r>
    </w:p>
    <w:p>
      <w:r>
        <w:rPr>
          <w:b/>
        </w:rPr>
        <w:t>E. 2.1</w:t>
      </w:r>
    </w:p>
    <w:p>
      <w:r>
        <w:t>Die Gerichtskosten, bestehend aus einer Gerichtsgebühr von Fr. 3'300.00 und Auslagen von Fr. 455.00, insgesamt Fr. 3'755.00, werden der Beklagten auferlegt und gehen aufgrund der ihr gewährten unentgeltlichen Rechtspflege einstweilen zulasten des Kantons. Die Beklagte ist zur Nachzahlung verpflichtet, sobald sie dazu in der Lage ist. Die Gerichtskasse wird angewiesen, der Klägerin den von ihr geleisteten Kostenvorschuss von Fr. 3'200.00 zurückzuerstatten.</w:t>
      </w:r>
    </w:p>
    <w:p>
      <w:r>
        <w:rPr>
          <w:b/>
        </w:rPr>
        <w:t>E. 2.2</w:t>
      </w:r>
    </w:p>
    <w:p>
      <w:r>
        <w:t>Die Gebühr für das Schlichtungsverfahren von Fr. 200.00 wird der Beklagten auferlegt und geht infolge Gewährung der unentgeltlichen Rechtspflege einstweilen zulasten des Kantons. Die Beklagte ist zur Nachzahlung verpflichtet, sobald sie dazu in der Lage ist. Die Gerichtskasse wird angewiesen, der Klägerin den von ihr geleisteten Kostenvorschuss von Fr. 200.00 zurückzuerstatten. 3.</w:t>
      </w:r>
    </w:p>
    <w:p>
      <w:r>
        <w:rPr>
          <w:b/>
        </w:rPr>
        <w:t>E. 2.3</w:t>
      </w:r>
    </w:p>
    <w:p>
      <w:r>
        <w:t>An der Instruktionsverhandlung vom 7. November 2018 wurden die Par- teien befragt und es wurden Einigungsgespräche geführt. Im Anschluss wurde das Verfahren zwecks weiterer Vergleichsgespräche sistiert. Nachdem keine Einigung erzielt werden konnte, wurde mit Verfügung vom 24. September 2019 ein zweiter Schriftenwechsel angeordnet.</w:t>
      </w:r>
    </w:p>
    <w:p>
      <w:r>
        <w:rPr>
          <w:b/>
        </w:rPr>
        <w:t>E. 2.4</w:t>
      </w:r>
    </w:p>
    <w:p>
      <w:r>
        <w:t>Die Klägerin hielt in der Replik vom 13. Januar 2020 und die Beklagte mit Duplik vom 16. März 2020 an ihren jeweiligen Rechtsbegehren fest.</w:t>
      </w:r>
    </w:p>
    <w:p>
      <w:r>
        <w:rPr>
          <w:b/>
        </w:rPr>
        <w:t>E. 2.5</w:t>
      </w:r>
    </w:p>
    <w:p>
      <w:r>
        <w:t>Es folgten Stellungnahmen vom 29. Juni 2020 und 22. Juli 2020. 3.</w:t>
      </w:r>
    </w:p>
    <w:p>
      <w:r>
        <w:rPr>
          <w:b/>
        </w:rPr>
        <w:t>E. 3</w:t>
      </w:r>
    </w:p>
    <w:p>
      <w:r>
        <w:t>Unter o/e Kostenfolge zu Lasten der Klägerin.</w:t>
      </w:r>
    </w:p>
    <w:p>
      <w:r>
        <w:rPr>
          <w:b/>
        </w:rPr>
        <w:t>E. 3.1</w:t>
      </w:r>
    </w:p>
    <w:p>
      <w:r>
        <w:t>Die Gerichtskosten des Berufungsverfahrens von Fr. 3'278.00 werden der Beklagten auferlegt und mit dem von der Klägerin in gleicher Höhe geleisteten Kostenvorschuss verrechnet. Die Beklagte hat der Klägerin den Vorschuss in Höhe von Fr. 3'278.00 zu ersetzen.</w:t>
      </w:r>
    </w:p>
    <w:p>
      <w:r>
        <w:rPr>
          <w:b/>
        </w:rPr>
        <w:t>E. 3.2</w:t>
      </w:r>
    </w:p>
    <w:p>
      <w:r>
        <w:t>Die Beklagte wird verpflichtet, der Klägerin für das Berufungsverfahren eine Parteientschädigung von Fr. 4'058.00 zu bezahlen. Zustellung an: […] Mitteilung an: […] Rechtsmittelbelehrung für die Beschwerde in Zivilsachen (Art. 72 ff., Art. 90 ff. BGG)</w:t>
      </w:r>
    </w:p>
    <w:p>
      <w:r>
        <w:t>- 12 -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7. Februar 2022 Obergericht des Kantons Aargau Zivilgericht, 2. Kammer Der Präsident: Die Gerichtsschreiberin i.V.: Marbet Gall</w:t>
      </w:r>
    </w:p>
    <w:p>
      <w:r>
        <w:rPr>
          <w:b/>
        </w:rPr>
        <w:t>E. 3.3</w:t>
      </w:r>
    </w:p>
    <w:p>
      <w:r>
        <w:t>Zusammengefasst liegt weder eine Vertrags- noch eine sonstige Pflichtverletzung der Klägerin vor. Damit erweist sich die Berufung der Klägerin als begründet. Das vorinstanzliche Urteil ist aufzuheben und es ist festzustellen, dass die gegenüber der Klägerin in Betreibung gesetzte Forderung über den Betrag von Fr. 33'140.00 nebst Zins nicht besteht. Darüber hinaus besteht kein rechtlich geschütztes Interesse an der mit Klage beantragten Feststellung, dass die Betreibung Nr. […] des Betrei- bungsamtes Oftringen-Aarburg ohne Schuldgrund angehoben worden sei. Nicht weiter einzugehen ist auf den mit Klage gestellten Antrag der Klägerin, das Betreibungsamt Oftringen-Aarburg sei anzuweisen, die Betreibung Nr. […] zu «löschen» und Dritten nicht mehr mitzuteilen. Art. 8a SchKG regelt das Einsichtsrecht in das Betreibungsregister und die Fälle, in welchen das Betreibungsamt Dritten von einer Betreibung keine Kenntnis gibt. Die Anwendung von Art. 8a SchKG steht jedoch in der ausschliess- lichen Kompetenz der Betreibungsbehörde, die das Register führt, und nicht in derjenigen der Zivilgerichte, selbst wenn diese mit einer negativen Feststellungsklage über die Betreibungsforderung befasst sind. Es liegt deshalb allein an der Klägerin, nach Eintritt der Rechtskraft, beim zuständigen Betreibungsamt ein Begehren um Nichtmitteilung eines Eintrags an Dritte zu stellen (vgl. KREN KOSTKIEWICZ, in: OF-Kommentar SchKG, Zürich 2020, N. 34 zu Art. 8a SchKG). 4.</w:t>
      </w:r>
    </w:p>
    <w:p>
      <w:r>
        <w:rPr>
          <w:b/>
        </w:rPr>
        <w:t>E. 4</w:t>
      </w:r>
    </w:p>
    <w:p>
      <w:r>
        <w:t>Unter o/e Kostenfolge zu Lasten der Berufungsklägerin, sowohl für das vorliegende wie auch für das vorinstanzliche Verfahren.</w:t>
      </w:r>
    </w:p>
    <w:p>
      <w:r>
        <w:rPr>
          <w:b/>
        </w:rPr>
        <w:t>E. 4.1</w:t>
      </w:r>
    </w:p>
    <w:p>
      <w:r>
        <w:t>Die von der Beklagten mit Berufungsantwort und Anschlussberufung beantragte unentgeltliche Rechtspflege ist abzuweisen, nachdem sich ihr Standpunkt und ihre Anträge von Anfang an als aussichtlos erwiesen haben (Art. 117 ZPO).</w:t>
      </w:r>
    </w:p>
    <w:p>
      <w:r>
        <w:rPr>
          <w:b/>
        </w:rPr>
        <w:t>E. 4.2</w:t>
      </w:r>
    </w:p>
    <w:p>
      <w:r>
        <w:t>Die Berufung der Klägerin ist gutzuheissen. Die Anschlussberufung der Beklagten wird abgewiesen. Bei diesem Ausgang des Verfahrens sind die Kosten des Berufungsverfahrens von gerundet Fr. 3'278.00 (Streitwert Fr. 33'140.00; § 7 Abs. 1 VKD) der Beklagten aufzuerlegen (Art. 106 Abs. 1 ZPO). Die Gerichtskosten sind mit dem von der Klägerin geleisteten Kostenvorschuss in gleicher Höhe zu verrechnen (Art. 111 Abs. 1 ZPO). Die Beklagte ist zu verpflichten, der Klägerin den geleisteten Vorschuss zu ersetzen und ihr ausgangsgemäss eine Parteientschädigung für das Beru- fungsverfahren zu bezahlen (Art. 111 Abs. 2 ZPO). Ausgehend von einer Grundentschädigung von Fr. 6'566.80 (§ 3 Abs. 1 lit. a Ziff. 4 AnwT) und unter Berücksichtigung des üblichen Abzugs von 20 % für die fehlende</w:t>
      </w:r>
    </w:p>
    <w:p>
      <w:r>
        <w:t>- 10 - Verhandlung (§ 6 Abs. 2 AnwT) und des Rechtsmittelabzugs von 25 % (§ 8 AnwT) sowie unter Hinzurechnung des pauschalen Auslagenersatzes von 3 % (§ 13 Abs. 1 AnwT) ist diese auf gerundet Fr. 4'058.00 festzusetzen. Da die Klägerin vorabzugsberechtigt ist, ist keine Mehrwertsteuer geschul- det.</w:t>
      </w:r>
    </w:p>
    <w:p>
      <w:r>
        <w:rPr>
          <w:b/>
        </w:rPr>
        <w:t>E. 4.3</w:t>
      </w:r>
    </w:p>
    <w:p>
      <w:r>
        <w:t>Bei diesem Verfahrensausgang sind auch die vorinstanzlichen Kosten neu zu verlegen (Art. 318 Abs. 3 ZPO). Die Klage ist gutzuheissen. Da der Beklagten im erstinstanzlichen Verfahren die unentgeltliche Rechtspflege gewährt worden ist, richtet sich die Liquidation der erstinstanzlichen Prozesskosten nach Art. 122 ZPO. Das heisst, der unentgeltliche Rechts- beistand der Beklagten ist vom Kanton angemessen zu entschädigen (Art. 122 Abs. 1 lit. a ZPO). Die Gerichtkosten und Auslagen von insgesamt Fr. 3'755.00 sowie die Gebühr für das Schlichtungsverfahren von Fr. 200.00 gehen unter Vorbehalt der Nachzahlung gemäss Art. 123 ZPO zulasten des Kantons (Art. 122 Abs. 1 lit. b ZPO). Der Klägerin sind die geleisteten Kostenvorschüsse von Fr. 3'200.00 und Fr. 200.00 zurück- zuerstatten (Art. 122 Abs. 1 lit. c ZPO). Schliesslich hat die Beklagte der Klägerin ausgangsgemäss die Parteientschädigung zu bezahlen (Art. 122 Abs. 1 lit. d ZPO), denn die unentgeltliche Rechtspflege befreit nicht von der Bezahlung einer Parteientschädigung an die Gegenpartei (Art. 118 Abs. 3 ZPO). Diese ist unter Berücksichtigung der Zuschläge für einen zweiten Schriftenwechsel (25 %), die zusätzliche Stellungnahme (5 %) sowie die zweite Verhandlung (25 %) auf Fr. 10'242.55 festzusetzen (§ 3 Abs. 1 lit. a Ziff. 4 und § 6 AnwT). Hinzu kommt der pauschale Auslagen- ersatz von praxisgemäss 3 % (§ 13 Abs. 1 AnwT), was zu einer Parteientschädigung von gerundet Fr. 10'550.00 führt. Da die Klägerin vorabzugsberechtigt ist, ist keine Mehrwertsteuer geschuldet. Das Obergericht erkennt: 1. Das Gesuch der Beklagten um Gewährung der unentgeltlichen Rechts- pflege wird abgewiesen. 2. In Gutheissung der Berufung der Klägerin und in Abweisung der Anschluss- berufung der Beklagten wird das vorinstanzliche Urteilsdispositiv aufge- hoben und wie folgt neu gefasst: 1. Es wird festgestellt, dass die gegenüber der Klägerin in Betreibung gesetzte Forderung über den Betrag von Fr. 33'140.00 nebst Zins zu 5 % seit 1. Januar 2016 nicht besteht. 2.</w:t>
      </w:r>
    </w:p>
    <w:p>
      <w:r>
        <w:t>- 11 -</w:t>
      </w:r>
    </w:p>
    <w:p>
      <w:r>
        <w:rPr>
          <w:b/>
        </w:rPr>
        <w:t>E. 5</w:t>
      </w:r>
    </w:p>
    <w:p>
      <w:r>
        <w:t>Der Berufungsbeklagten und Anschlussberufungsklägerin sei weiterhin die unentgeltliche Rechtspflege mit dem Unterzeichnenden als unentgeltlichem Rechtsbeistand zu bewilligen.</w:t>
      </w:r>
    </w:p>
    <w:p>
      <w:r>
        <w:rPr>
          <w:b/>
        </w:rPr>
        <w:t>E. 7</w:t>
      </w:r>
    </w:p>
    <w:p>
      <w:r>
        <w:t>November 2018]). Ebenso ist unbestritten geblieben, dass F. als Hilfsperson der Klägerin i.S.v. Art. 101 OR agiert hat. Der Versicherungsmakler verpflichtet sich neben der Aufklärungs- und Informationspflicht nach Art. 45 Abs. 1 VAG grundsätzlich dazu, das Versicherungsbedürfnis seines Mandanten zu ermitteln und anschliessend auf der Basis sämtlicher auf dem Markt angebotener Versicherungs- leistungen eine Empfehlung abzugeben (vgl. Urteil des Bundesgerichts 4A_577/2015 vom 1. März 2016 E. 5.1). Zu den weiteren Pflichten des Versicherungsmaklers gehören insbesondere die laufende Überwachung des Versicherungsschutzes (BGE 124 III 481 E. 4) sowie die Auskunfts-</w:t>
      </w:r>
    </w:p>
    <w:p>
      <w:r>
        <w:t>- 7 - und Rechenschaftspflichten über das Mandat und die Courtage (vgl. Art. 400 Abs. 1 OR und Art. 45 Abs. 1 lit. c VAG). Dabei obliegt dem Versicherungsmakler eine auf den Maklervertrag ausgerichtete, im Vergleich zum gewöhnlichen Beauftragten eingeschränkte Treue- und Sorgfaltspflicht (BGE 124 III 48 E. 3a mit Hinweisen). Insbesondere ergibt sich aus diesen Pflichten keine Verantwortung des Versicherungsmaklers für den Inhalt der Gesundheitserklärung der zu versichernden Person an die Versicherung. Der Versicherungsvertrag kommt zwischen dem Antragsteller und dem Versicherungsunternehmen zustande (vgl. Art. 1 Abs. 1 VVG). Gemäss Art. 4 Abs. 1 VVG hat der Antragsteller dem Versicherungsunternehmen alle für die Beurteilung der Gefahr erheblichen Tatsachen mitzuteilen. So trägt auch allein der Antragsteller die Rechtsfolgen einer fehlerhaften Beantwortung der Gesundheitsfragen, sobald er einen von einem Dritten ausgefüllten Fragebogen unterschreibt (vgl. BGE 96 II 204 E. 3; BGE 108 II 550 E. 2d; vgl. auch Urteil des Bundesgerichts 9C_471/2015 vom</w:t>
      </w:r>
    </w:p>
    <w:p>
      <w:r>
        <w:rPr>
          <w:b/>
        </w:rPr>
        <w:t>E. 11</w:t>
      </w:r>
    </w:p>
    <w:p>
      <w:r>
        <w:t>März 2016 E. 6). Nach der Rechtsprechung hat sich der Befragte über die richtige Ausfüllung des Fragebogens durch einen Dritten zu vergewissern und darf die Augen vor einer unrichtigen Angabe nicht verschliessen. Diese Pflicht setzt jedoch voraus, dass dem Befragten eine solche Nachkontrolle überhaupt möglich ist, d.h. dass er die Fragen und eingesetzten Antworten lesen und verstehen kann (BGE 108 II 550 E. 2d).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