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ZOR.2014.81 vom 24. Februar 2015</w:t>
      </w:r>
    </w:p>
    <w:p>
      <w:r>
        <w:t>Ag Zivilgericht, 2015-02-24, DE</w:t>
      </w:r>
    </w:p>
    <w:p>
      <w:r>
        <w:rPr>
          <w:b/>
        </w:rPr>
        <w:t xml:space="preserve">Quelle: </w:t>
      </w:r>
      <w:r>
        <w:t>https://mcp.opencaselaw.ch/entscheid/ag_zivilgericht_ZOR.2014.81</w:t>
      </w:r>
    </w:p>
    <w:p>
      <w:r>
        <w:t>FR: AG_ZIVILGERICHT ZOR.2014.81 du 24 février 2015</w:t>
      </w:r>
    </w:p>
    <w:p>
      <w:r>
        <w:t>IT: AG_ZIVILGERICHT ZOR.2014.81 del 24 febbraio 2015</w:t>
      </w:r>
    </w:p>
    <w:p>
      <w:pPr>
        <w:pStyle w:val="Heading2"/>
      </w:pPr>
      <w:r>
        <w:t>Regeste</w:t>
      </w:r>
    </w:p>
    <w:p>
      <w:r>
        <w:t>Art. 741 ZGB Dient die Vorrichtung zur Ausübung einer Dienstbarkeit sowohl dem Dienstbarkeitsberechtigten als auch dem Dienstbarkeitsbelasteten, ist der Dienstbarkeitsberechtigte zur Vornahme der gesamten Unterhalts-und Erneuerungsarbeiten zu verpflichten unter gleichzeitiger Einräumung eines Ersatzanspruchs für einen Teil der Kosten gegenüber dem Dienstbarkeitsbelasteten.</w:t>
      </w:r>
    </w:p>
    <w:p>
      <w:pPr>
        <w:pStyle w:val="Heading2"/>
      </w:pPr>
      <w:r>
        <w:t>Erwägungen</w:t>
      </w:r>
    </w:p>
    <w:p>
      <w:r>
        <w:rPr>
          <w:b/>
        </w:rPr>
        <w:t>E. 3</w:t>
      </w:r>
    </w:p>
    <w:p>
      <w:r>
        <w:t>OR in Verbindung mit der vorliegend anwendbaren Regelung über die Tragung des Unterhalts hat er aber für die Hälfte des Aufwandes einen Ersatzanspruch gegenüber der Beklagten, was im Urteil festzu halten ist. Zudem ist die Pflicht zur Beteiligung an den Kosten einer</w:t>
      </w:r>
    </w:p>
    <w:p>
      <w:r>
        <w:t>Vornahme der Erneuerungsarbeiten im Sinne von Art. 98 Abs. 1 OR auf die Hälfte dieser Kosten zu beschränken.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