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ZBE.2023.1 vom 8. November 2023</w:t>
      </w:r>
    </w:p>
    <w:p>
      <w:r>
        <w:t>Ag Zivilgericht, 2023-11-08, DE</w:t>
      </w:r>
    </w:p>
    <w:p>
      <w:r>
        <w:rPr>
          <w:b/>
        </w:rPr>
        <w:t xml:space="preserve">Quelle: </w:t>
      </w:r>
      <w:r>
        <w:t>https://mcp.opencaselaw.ch/entscheid/ag_zivilgericht_ZBE.2023.1</w:t>
      </w:r>
    </w:p>
    <w:p>
      <w:r>
        <w:t>FR: AG_ZIVILGERICHT ZBE.2023.1 du 8 novembre 2023</w:t>
      </w:r>
    </w:p>
    <w:p>
      <w:r>
        <w:t>IT: AG_ZIVILGERICHT ZBE.2023.1 del 8 novembre 2023</w:t>
      </w:r>
    </w:p>
    <w:p>
      <w:pPr>
        <w:pStyle w:val="Heading2"/>
      </w:pPr>
      <w:r>
        <w:t>Erwägungen</w:t>
      </w:r>
    </w:p>
    <w:p>
      <w:r>
        <w:rPr>
          <w:b/>
        </w:rPr>
        <w:t>E. 10</w:t>
      </w:r>
    </w:p>
    <w:p>
      <w:r>
        <w:t>November 2015 nicht von Vornherein im Widerspruch zum Grundsatz der materiellen Höchstpersönlichkeit. Folglich erweisen sich die letztwilli- gen Verfügungen des Erblassers insoweit nicht als (offensichtlich) nichtig und somit auch nicht als von vornherein rechtsunwirksam. In Gutheissung der Berufung sind Dispositiv-Ziffern 3 und 4 des vorinstanzlichen Ent- scheids deshalb aufzuheben. 6. 6.1. Im Übrigen ist anzumerken, dass der vorinstanzliche Erbenruf unsachge- mäss und nicht vollständig war. Ist die Behörde im Ungewissen, ob der Erblasser Erben hinterlassen hat oder nicht, oder ob ihr alle Erben bekannt sind, so sind die Berechtigten in angemessener Weise öffentlich aufzufordern, sich binnen Jahresfrist zum Erbgange zu melden (Art. 555 Abs. 1 ZGB). Bezüglich unbekannter Erben muss eine einigermassen erhebliche Möglichkeit zur Annahme bestehen, dass solche vorhanden sind (vgl. EMMEL/AMMAN, Prax-Komm. Erbrecht, a.a.O., N. 7 zu Art. 554 ZGB). Unter den Voraussetzungen von Art. 555 ZGB besteht eine Pflicht zur Durchführung eines Erbenrufs, wobei die zu- ständige Behörde im konkreten Fall aufgrund einer vorfrageweisen Prüfung des Testaments und nach Massgabe des Verhältnismässigkeitsprinzips die Grenzen bei der Ermittlung der gesetzlichen Erben bestimmen darf. Aus dem Verhältnismässigkeitsprinzip ergibt sich, dass die Aufforderung den Umständen des konkreten Nachlassfalls nach angemessen und öffentlich sein muss. Das Erfordernis der Angemessenheit bezieht sich dabei auf die Art und Weise (Publikationsorgan, Anzahl der Aufrufe) sowie den Ort der Aufforderung (EMMEL/AMMANN, Prax.-Komm. Erbrecht, a.a.O., N. 2 und 5 zu Art. 555 ZGB). In der Regel haben zwei bis drei Publikationen in einer oder mehreren Zeitungen der Stadt bzw. Region zu erfolgen, wo der Ge- suchte zuletzt gewohnt hat oder gesehen wurde; ein Anschlag an der Amts- tafel des letztbekannten Wohnortes oder eine Publikation im lokalen Amts- blatt genügt nicht (LEU/GABRIELI, BSK ZGB II, a.a.O., N. 5 zu Art. 555 ZGB). Bei grösseren Nachlassvermögen und mehreren Aufenthaltsorten des Erb- lassers sowie verstreutem Grundeigentum im In- und Ausland hat der Er- benruf an mehreren, eventuell an allen diesen Orten zu erscheinen. Ge- zielte Nachforschungen der Behörde bloss in einem beschränkten Kreis von Personen oder über Auskunfteien gehören zwar zu den üblichen In-</w:t>
      </w:r>
    </w:p>
    <w:p>
      <w:r>
        <w:t>- 16 - strumenten der behördlichen Erbenermittlung, erfüllen jedoch das Erforder- nis einer öffentlichen Aufforderung nicht (EMMEL/AMMAN, Prax.-Komm. Erb- recht, a.a.O., N. 6 zu Art. 555 ZGB). 6.2. Der Erblasser war italienischer Staatsbürger mit letztem Wohnsitz in der Schweiz. Zu seinem Nachlass gehören u.a. eine sich in R._____ (Italien) befindende Liegenschaft sowie ein Vermögen auf einem Konto einer eben- falls in R._____ (Italien) ansässigen Bank. Nach erfolgter Testamentseröff- nung vom 18. Mai 2021 teilte das Inventuramt der Stadt Aarau der Vo- rinstanz mit, dass der Erblasser gemäss Aussagen des als Willensvollstre- cker eingesetzten Berufungsklägers 1 keine Nachkommen hinterlassen habe und die Eltern des Erblassers vorverstorben seien. Auch habe der Erblasser über keine Geschwister oder Halbgeschwister verfügt. Die nächste Bekannte des Erblassers sei eine Cousine aus S._____ (Italien), zu welcher der Berufungskläger 1 aber keine weiteren Angaben habe (E- Mail des Inventuramts der Stadt Aarau vom 4. Juni 2021 an die Vorinstanz). Über den Berufungskläger 1 sei dem Inventuramt der Stadt Aarau am 4. Juni 2021 sodann mitgeteilt worden, dass die Gemeinde S._____ keine Nachforschungen, welche darauf abzielten, die Personalien etwaiger Er- ben einer verstorbenen Person zu ermitteln, anstellen könne. Es seien le- diglich gebührenpflichtige Archivrecherchen möglich (E-Mail des Beru- fungsklägers 1 an das Inventuramt der Stadt Aarau vom 3. Juni 2021). Der Vorinstanz lagen somit noch vor ihrer am 14. Juni 2021 verfügten Anord- nung des Erbenrufs Hinweise vor, dass der Erblasser über zumindest eine gesetzliche und in S._____ (Italien) wohnhafte Erbin verfügen könnte. Der italienische Wohnsitz dieser potentiellen Erbin in S._____ erstaunt in An- betracht der italienischen Staatsangehörigkeit des Erblassers und dem Umstand, dass dessen Nachlass eine Liegenschaft in R._____ und ein auf einer Bank in R._____ befindliches Vermögen umfasst, nicht. Nach Gesagtem bestand bereits vor der vorinstanzlichen Anordnung des Erbenrufs zumindest eine einigermassen erhebliche Möglichkeit zur An- nahme, dass in der italienischen Provinz R._____ gesetzliche Erben des Erblassers vorhanden sein könnten. Folglich erweist sich der von der Vo- rinstanz lediglich im Amtsblatt des Kantons Aargau einmal ausgekündigte Erbenruf als den vorliegenden Umständen nicht angemessen, ist doch nicht anzunehmen, dass in der Provinz R._____ wohnhafte Personen Ein- sicht in das Amtsblatt des Kantons Aargau nehmen. 6.3. Überdies hat die Ermittlung von zivilstandsregisterlich ausgewiesenen Nachkommen Vorrang vor einem Erbenruf (AGVE 2019 Nr. 39 S. 246 f.). Der Erblasser war italienischer Staatsangehöriger. Dennoch wurden keine Auskünfte von der Zivilstandsbehörde in Italien eingeholt. Inzwischen lie-</w:t>
      </w:r>
    </w:p>
    <w:p>
      <w:r>
        <w:t>- 17 - gen wegen der Eingaben von F._____ im vorliegenden Rechtsmittelverfah- ren Auszüge aus dem Zivilstandsregister von S._____ vor. Es ist daher op- portun (bzw. wäre dies von Beginn weg opportun gewesen), bei der Regis- terbehörde in S._____ Auskünfte (Erbenverzeichnis) des Erblassers einzu- holen (vgl. auch Mail vom 3. Juni 2021 von der H._____). Der Erblasser ist dort nach wie vor registriert (vgl. Beilage 3 zur Eingabe von F._____ vom 5. Juli 2023). Dies umso mehr, als aufgrund der Eingabe von F._____ vom 29. September 2023 im vorliegenden Rechtsmittelverfahren nunmehr klare Hinweise dafür vorliegen, dass der Erblasser über insgesamt vier in der Region R._____ wohnhafte Cousins bzw. Cousinen und somit über gesetz- liche Erben verfügen könnte (vgl. insb. Beilage 1 zur Eingabe von F._____ vom 29. September 2023). Bestehen danach weiterhin begründete Zweifel daran, dass noch immer nicht alle möglichen Erben ausfindig gemacht wur- den, so wäre in Anbetracht des beachtlichen Nachlassvermögens (vgl. E. 1.1 hiervor) wohl eine weitere Auskündigung des Erbenrufs in einer grös- seren Zeitung oder in einem anderen Medium mit vergleichbarer Verbrei- tung in der italienischen Provinz R._____ angezeigt. Zu prüfen ist zudem die Anordnung einer Erbschaftsverwaltung, zumal ein Erbenruf grundsätz- lich einer vorangehenden Anordnung einer Erbschaftsverwaltung bedarf (vgl. E. 1.1 hiervor). Das Absehen von der Anordnung einer Erbschaftsver- waltung unter gleichzeitiger Auskündigung eines Erbenrufs vermag zwar dann angezeigt sein, wenn die Verwaltung der Erbschaft anderweitig und mit einer der Erbschaftsverwaltung gleichwertigen Sicherheit gewährleistet wäre (WOLF/GENNA, Bd. IV/2, a.a.O., S. 50). Dahingehende Abklärungen der Vorinstanz sind bei der vorliegenden Aktenlage nicht ersichtlich. 6.4. Die Vorinstanz wird sich deshalb wiedererwägungsweise mit den Disposi- tiv-Ziffern 1 und 2 ihres Entscheids vom 14. Dezember 2022 zu befassen haben (Art. 256 Abs. 2 ZPO). Hierbei werden weitere Kosten anfallen, wes- halb es angemessen erscheint, auch (die angefochtene) Dispositiv-Ziffer 5 aufzuheben. Die Vorinstanz wird über die Kosten nach Durchführung der anstehenden Sicherungsmassregeln gesamthaft neu zu entscheiden ha- ben. 7. 7.1. Bleibt es vor zweiter Instanz beim Einparteienverfahren, so kann der Kan- ton gemäss Bundesgericht als unterliegende Partei entschädigungspflich- tig werden (vgl. BGE 142 III 110 E. 3.3). Da es sich vorliegend vorinstanz- lich um ein Einparteienverfahren handelte und Kanton und Gemeinde sich auch im Rechtsmittelverfahren materiell nicht äusserten bzw. keinen eige- nen Standpunkt einnahmen, rechtfertigt es sich, in analoger Anwendung dieser Rechtsprechung den fast vollumfänglich obsiegenden Berufungsklä- gern eine Parteientschädigung zulasten der Staatskasse zuzusprechen.</w:t>
      </w:r>
    </w:p>
    <w:p>
      <w:r>
        <w:t>- 18 - Damit einhergehend sind die Gerichtskosten des obergerichtlichen Verfah- rens auf die Staatskasse zu nehmen. 7.2. Der Vertreter der Berufungskläger hat trotz telefonischer Aufforderung am 31. Oktober 2023 keine Kostennote eingereicht. Das Honorar ist somit von Amtes wegen festzusetzen (Art. 105 Abs. 1 ZPO). Der Streitwert in Ange- legenheiten betreffend den Willensvollstrecker ist nicht mit dem Nachlass- wert gleichzusetzen. Allerdings sind die wirtschaftlichen Interessen nicht gänzlich ausser Acht zu lassen (BGE 5A_635/2015 E. 1.2). In Anbetracht der hier gegenständlichen Frage (Nichtigkeit der letztwilligen Verfügungen) und der damit verbundenen Interessen der Berufungsbeklagten erscheint vorliegend das Abstellen auf den Nachlasswert als Ausgangslage für die Bemessung der Entschädigung (ausnahmsweise) angemessen. Diesbe- züglich lässt sich den Akten einzig ein "Reinvermögen" von Fr. 439'714.00 (Wertschriften und Guthaben) entnehmen. Hinsichtlich des Werts des übri- gen Vermögens (Liegenschaft in Italien) wurden keine Angaben gemacht. Es rechtfertigt sich deshalb, vom bekannten Vermögen von Fr. 439'714.00 auszugehen, womit sich die Grundentschädigung auf Fr. 7'202.65 (§ 3 Abs. 1 lit. a Ziff. 8 AnwT, davon 25 %, § 3 Abs. 2 AnwT) beläuft. Unter Berück- sichtigung des Abzugs für die fehlende Verhandlung (§ 6 Abs. 2 AnwT, 20 %) und einer weiteren Reduktion von 25 % wegen geringer Aufwendun- gen (§ 7 Abs. 2 AnwT), resultiert eine Entschädigung von Fr. 4'321.60 bzw. inkl. Fr. 50.00 für Auslagen und 7,7 % MWSt von (gerundet) Fr. 4'710.00. Das Obergericht erkennt: 1. 1.1. In teilweiser Gutheissung der Berufung der Berufungskläger 1 und 2 wer- den die Dispositivziffern 3 bis 5 des Entscheids des Zivilgerichtspräsidiums des Bezirksgerichts Aarau vom 14. Dezember 2022 ersatzlos aufgehoben. 1.2. Im Übrigen wird auf die Berufung nicht eingetreten. 2. Die Gerichtskosten des obergerichtlichen Verfahrens werden auf die Staatskasse genommen. 3. Die Obergerichtskasse wird angewiesen, den Berufungsklägern 1 und 2 für das Berufungsverfahren vor Obergericht eine Parteientschädigung von Fr. 4'710.00 (inkl. Auslagen und MWSt) auszurichten.</w:t>
      </w:r>
    </w:p>
    <w:p>
      <w:r>
        <w:t>- 19 -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8. November 2023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