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AG_ZIVILGERICHT XBE.2023.33 vom 31. Juli 2023</w:t>
      </w:r>
    </w:p>
    <w:p>
      <w:r>
        <w:t>Ag Zivilgericht, 2023-07-31, DE</w:t>
      </w:r>
    </w:p>
    <w:p>
      <w:r>
        <w:rPr>
          <w:b/>
        </w:rPr>
        <w:t xml:space="preserve">Quelle: </w:t>
      </w:r>
      <w:r>
        <w:t>https://mcp.opencaselaw.ch/entscheid/ag_zivilgericht_XBE.2023.33</w:t>
      </w:r>
    </w:p>
    <w:p>
      <w:r>
        <w:t>FR: AG_ZIVILGERICHT XBE.2023.33 du 31 juillet 2023</w:t>
      </w:r>
    </w:p>
    <w:p>
      <w:r>
        <w:t>IT: AG_ZIVILGERICHT XBE.2023.33 del 31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Der Antrag des Beschwerdeführers um unentgeltliche Rechtspflege wird abgewiesen.</w:t>
      </w:r>
    </w:p>
    <w:p>
      <w:r>
        <w:rPr>
          <w:b/>
        </w:rPr>
        <w:t>E. 3</w:t>
      </w:r>
    </w:p>
    <w:p>
      <w:r>
        <w:t>Die Kosten des obergerichtlichen Verfahrens von Fr. 800.00 werden dem Beschwerdeführer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