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XBE.2022.4 vom 26. April 2022</w:t>
      </w:r>
    </w:p>
    <w:p>
      <w:r>
        <w:t>Ag Zivilgericht, 2022-04-26, DE</w:t>
      </w:r>
    </w:p>
    <w:p>
      <w:r>
        <w:rPr>
          <w:b/>
        </w:rPr>
        <w:t xml:space="preserve">Quelle: </w:t>
      </w:r>
      <w:r>
        <w:t>https://mcp.opencaselaw.ch/entscheid/ag_zivilgericht_XBE.2022.4</w:t>
      </w:r>
    </w:p>
    <w:p>
      <w:r>
        <w:t>FR: AG_ZIVILGERICHT XBE.2022.4 du 26 avril 2022</w:t>
      </w:r>
    </w:p>
    <w:p>
      <w:r>
        <w:t>IT: AG_ZIVILGERICHT XBE.2022.4 del 26 aprile 2022</w:t>
      </w:r>
    </w:p>
    <w:p>
      <w:pPr>
        <w:pStyle w:val="Heading2"/>
      </w:pPr>
      <w:r>
        <w:t>Erwägungen</w:t>
      </w:r>
    </w:p>
    <w:p>
      <w:r>
        <w:rPr>
          <w:b/>
        </w:rPr>
        <w:t>E. 1.1</w:t>
      </w:r>
    </w:p>
    <w:p>
      <w:r>
        <w:t>Zuständig für Beschwerdeverfahren gegen Entscheide der Kindes- und Er- wachsenenschutzbehörde wie das vorliegende ist die Kammer für Kindes- und Erwachsenenschutz des aargauischen Obergerichts als einzige Be-</w:t>
      </w:r>
    </w:p>
    <w:p>
      <w:r>
        <w:t>- 6 - schwerdeinstanz (§ 41 EG ZGB i.V.m. § 10 Abs. 1 lit. c EG ZPO und An- hang 1 zur Geschäftsverteilungsordnung des Obergerichts [GKA 155.200.3.101]).</w:t>
      </w:r>
    </w:p>
    <w:p>
      <w:r>
        <w:rPr>
          <w:b/>
        </w:rPr>
        <w:t>E. 1.2</w:t>
      </w:r>
    </w:p>
    <w:p>
      <w:r>
        <w:t>Die Eintretensvoraussetzungen geben zu keinen Bemerkungen Anlass: Der Beschwerdeführer ist als Vater gemäss Art. 450 ZGB beschwerdelegi- timiert, und die Beschwerde gegen den angefochtenen Entscheid wurde form- und fristgerecht eingereicht.</w:t>
      </w:r>
    </w:p>
    <w:p>
      <w:r>
        <w:rPr>
          <w:b/>
        </w:rPr>
        <w:t>E. 1.3</w:t>
      </w:r>
    </w:p>
    <w:p>
      <w:r>
        <w:t>Die Rechtsmittelinstanz prüft den erstinstanzlichen Entscheid von Amtes wegen in Anwendung der Untersuchungs- und Offizialmaxime – in der Re- gel beschränkt auf den Umfang der Anfechtung – in rechtlicher und tatsäch- licher Hinsicht umfassend und beurteilt ihn neu (Art. 446 Abs. 4 ZGB; Bot- schaft zum Erwachsenenschutz, Personenrecht und Kindesrecht, BBl 2006 7001 ff., S. 7083). 2.</w:t>
      </w:r>
    </w:p>
    <w:p>
      <w:r>
        <w:rPr>
          <w:b/>
        </w:rPr>
        <w:t>E. 2.1</w:t>
      </w:r>
    </w:p>
    <w:p>
      <w:r>
        <w:t>In der Hauptsache ist umstritten, ob das Familiengericht Q. die elterliche Obhut über C. zu Recht der Mutter alleine zugeteilt hat.</w:t>
      </w:r>
    </w:p>
    <w:p>
      <w:r>
        <w:rPr>
          <w:b/>
        </w:rPr>
        <w:t>E. 2.2</w:t>
      </w:r>
    </w:p>
    <w:p>
      <w:r>
        <w:t>Bei gemeinsamer elterlicher Sorge hat der Richter auf Begehren eines El- ternteils oder des Kindes zu prüfen, ob eine alternierende Obhut möglich und mit dem Wohl des Kindes vereinbar ist (Art. 298b Abs. 3 ZGB). Dabei ist gestützt auf die festgestellten Tatsachen der Gegenwart und der Ver- gangenheit eine sachverhaltsbasierte Prognose darüber zu stellen, ob die alternierende Obhut als Betreuungslösung aller Voraussicht nach dem Wohl des Kindes entspricht (BGE 142 III 612 E. 4.2 mit Hinweis). Eine al- ternierende Obhut steht damit in erster Linie im Interesse des Kindeswohls und darf nicht dazu führen, die Konflikte um die Kontakte des Kindes zu beiden Elternteilen um ein weiteres Element zu ergänzen. Dabei setzt die alternierende Obhut grundsätzlich voraus, dass beide Eltern erziehungsfähig sind. Dieses Betreuungsmodell ist zudem nur dann um- setzbar, wenn die Eltern fähig und bereit sind, in Kinderbelangen laufend miteinander zu kommunizieren und im Hinblick auf die notwendigen orga- nisatorischen Vorkehrungen zu kooperieren (BGE 142 III 617 E. 3.2.3). Da- bei steht einer alternierenden Obhut nicht entgegen, wenn die Eltern zur gemeinsamen Entscheidfindung die Unterstützung von Drittpersonen be- nötigen oder wenn sich ein Elternteil einer Regelung mit geteilter Betreuung widersetzt. Unter derartigen Voraussetzungen ist die alternierende Obhut zwar problematischer, davon ist aber nur abzusehen, wenn das Verhältnis</w:t>
      </w:r>
    </w:p>
    <w:p>
      <w:r>
        <w:t>- 7 - unter den Eltern hinsichtlich anderer Kinderbelange von einer Feindselig- keit gezeichnet ist, die annehmen lässt, eine alternierende Obhut würde das Kind dem gravierenden Elternkonflikt in einer Weise aussetzen, die seinen Interessen offensichtlich zuwiderläuft (Urteil des Bundesgerichts 5A_629/2019 vom 13. November 2020 E. 4.2). Massgebend ist aus prakti- schen Gründen regelmässig die geografische Situation, namentlich die Dis- tanz zwischen den Wohnungen der beiden Eltern. Bedeutsam ist für die Kindeswohlwirksamkeit auch die Stabilität, wie sie mit einer Weiterführung der bisherigen Regelungen einhergeht. In diesem Sinn ist eine alternie- rende Obhut umso eher angezeigt, wenn eine abwechslungsweise Betreu- ung des Kindes bereits vor der Trennung der Eltern stattgefunden hat. An- dere Kriterien sind das Alter des Kindes, seine Beziehungen zu Geschwis- tern und seine Einbettung in das weitere soziale Umfeld. Die Möglichkeit der persönlichen Betreuung spielt hauptsächlich dann eine Rolle, wenn spezifische Bedürfnisse eines Kindes eine persönliche Betreuung notwen- dig erscheinen lassen. Beachtung verdient zudem der Wunsch des Kindes, selbst wenn es bezüglich der Betreuungsregelung (noch) nicht urteilsfähig ist.</w:t>
      </w:r>
    </w:p>
    <w:p>
      <w:r>
        <w:rPr>
          <w:b/>
        </w:rPr>
        <w:t>E. 2.3</w:t>
      </w:r>
    </w:p>
    <w:p>
      <w:r>
        <w:t>Die Vorinstanz prüfte die Obhutszuteilung anhand der vorstehend darge- legten Kriterien und kam zum Schluss, dass eine konfliktfreie Kommunika- tion zwischen den Eltern momentan nicht möglich sei. Das lasse sich be- reits daran erkennen, dass mit dem Beistand getroffene Absprachen in Be- zug auf die Übergabe von C. und die Kommunikation zwischen den Eltern nicht eingehalten würden. Entsprechend sei zu befürchten, dass es bei ei- ner Ausdehnung des Besuchsrechts zwischen den Eltern wieder vermehrt zu Spannungen kommen werde. Der Vorschlag des Beistands, einen Wechsel von C. von einem zum anderen Elternteil direkt nach dem Kinder- garten vorzunehmen und Übergabeinformationen schriftlich zu übergeben, würde dazu führen, dass die Verantwortung an C. abgeschoben würde, was in seinem Alter unzumutbar sei. Es gelte Spannungen unbedingt zu verhindern, zumal es durch die seit April 2021 geltenden klaren Regelun- gen zumindest zu einer gewissen Entspannung der Situation gekommen sei, wodurch C. weniger belastet sei und Fortschritte habe erzielen können.</w:t>
      </w:r>
    </w:p>
    <w:p>
      <w:r>
        <w:rPr>
          <w:b/>
        </w:rPr>
        <w:t>E. 2.4</w:t>
      </w:r>
    </w:p>
    <w:p>
      <w:r>
        <w:t>Der Beschwerdeführer führt zur Begründung seines Begehrens auf eine alternierende Obhut zusammengefasst aus, die Voraussetzungen für eine alternierende Obhut seien erfüllt. Es dürfe nicht angehen, dass der haupt- betreuende Elternteil die Kommunikation und die Zusammenarbeit mit dem anderen verweigere, nur um ins Feld zu führen, dass eine alternierende Obhut mangels funktionierender Kommunikation zwischen den Eltern nicht möglich sei. Die Kindsmutter habe bis anhin mit ihrem Verhalten jegliche Diskussions- oder Lösungsversuche des Kindsvaters oder des Beistandes verweigert. Der Kindsvater habe hingegen alles unternommen, um eine</w:t>
      </w:r>
    </w:p>
    <w:p>
      <w:r>
        <w:t>- 8 - funktionierende alternierende Obhut zu gewährleisten. So sei er in die un- mittelbare Nähe seines Sohnes gezogen und habe seine Berufstätigkeit so organisiert, dass er eine hälftige Betreuung des Sohnes garantieren könne. Der Kindsvater sei aus beruflicher Sicht weiterhin in der Lage, C. jeweils an drei Tagen unter der Woche zu betreuen. Zudem entspreche es dem aus- drücklichen Wunsch von C., wieder (wie früher) inetwa die Hälfte seiner Zeit beim Vater zu verbringen. Nach der Trennung der Eltern im April 2018 sei die alternierende Betreuung während rund drei Jahren gelebt worden. So habe der Kindsvater C. jeweils in jeder Woche alternierend entweder von Dienstag bis und mit Donnerstag oder von Mittwoch bis und mit Freitag, also während drei Tagen in jeder Woche betreut. Erst als Unstimmigkeiten hinsichtlich der Betreuung an den Feiertagen eingetreten seien, habe die Kindsmutter die Fortführung der al- ternierenden Obhut verweigert und blockiere diese seither kontinuierlich. Entsprechend habe der Kindsvater eine Gefährdungsmeldung erstattet. Ein gewisser Elternkonflikt sei offenkundig. Die Umsetzung des Besuchs- rechts habe jedoch stets mehr oder weniger problemlos funktioniert. Bei Problemen könnten die Kindseltern die Vermittlung des Beistands anrufen. Eine weitergehende Kommunikation zwischen den Kindseltern sei somit nicht erforderlich, zumal die Besuchszeiten klar geregelt seien. Darüber hinaus könnten die Übergaben problemlos so gelöst werden, dass sich da- bei der Kontakt zwischen den Kindseltern auf ein Minimum beschränke. Vor diesem Hintergrund sei nicht nachvollziehbar, welche Kommunikati- onsdefizite einer alternierenden Obhut überhaupt entgegenstehen sollten. Werde ein solches Betreuungsmodell klar geregelt und würden die Zeiten verbindlich festgelegt, so erfordere dies auch nicht mehr Absprachen zwi- schen den Parteien, als wenn nur ein zweiwöchentliches Besuchsrecht stattfinde. Die durch die Vorinstanz aufgeführte Hochstrittigkeit der Eltern werde be- stritten. Eine solche bestehe nicht, zumal der Kindsvater alles Mögliche un- ternommen habe, um die Grundlagen einer funktionierenden alternieren- den Obhut zu schaffen. So habe er sich insbesondere bei der Kindsmutter entschuldigt und ihr einen Neustart angeboten. Darauf sei die Kindsmutter nicht weiter eingegangen. Des Weiteren habe der Kindsvater erst kürzlich ein Seminar in gewaltfreier Kommunikation besucht. Zu erwähnen sei, dass nun offenbar eine gewisse Annäherung zwischen den Kindseltern erfolge und demnächst ein Gespräch zu Dritt mit dem Beistand geplant sei. Auch dies zeige, dass der Kindsvater in jeglicher Hinsicht Hand biete für eine gütliche und im Kindeswohl liegende Lösung.</w:t>
      </w:r>
    </w:p>
    <w:p>
      <w:r>
        <w:rPr>
          <w:b/>
        </w:rPr>
        <w:t>E. 2.5</w:t>
      </w:r>
    </w:p>
    <w:p>
      <w:r>
        <w:t>Die Kindsmutter macht im Wesentlichen in Bezug auf die alternierende Ob- hut geltend, dass der Beschwerdeführer die Situation völlig falsch und ein-</w:t>
      </w:r>
    </w:p>
    <w:p>
      <w:r>
        <w:t>- 9 - seitig schildere. Es bestehe vorliegend sehr wohl eine hochstrittige Situa- tion zwischen den Eltern. Das Vorliegen dieser Situation habe sich einzig und allein der Beschwerdeführer mit seinem Verhalten in den vergangenen Monaten und Jahren zuzuschreiben. Die Kommunikation zwischen den El- tern sei massiv konfliktbehaftet. Der Beschwerdeführer sei nicht in der Lage, objektiv, konstruktiv und in einer dem Kindeswohl entsprechenden Weise mit der Kindsmutter und dem Beistand zu kommunizieren. Die Kindsmutter stützt sich dabei auf den Wortlaut verschiedener Nachrichten des Beschwerdeführers. Aus den als Beilage zu seiner Stellungnahme an die Vorinstanz vom 6. September 2021 eingereichten SMS könne entnom- men werden, dass er den auf seinem Mobiltelefon abgespeicherten Kontakt der Kindsmutter mit einem Profilbild versehen habe, welches einen Toten- kopf zeige. Wenn die Kindsmutter C. auf dem Mobiltelefon des Beschwer- deführers angerufen habe, habe C. folglich jeweils einen Totenkopf gese- hen. Daraus lasse sich doch einiges auf die innere Einstellung des Be- schwerdeführers gegenüber der Kindsmutter schliessen. Später habe er das Profilbild gemäss der Beilage zu seiner Eingabe vom 5. Oktober 2021 in ein "Gespenst" geändert. Auch nach Ernennung des Beistands habe sich die Kommunikation nicht verbessert. Der Beschwerdeführer halte sich nach wie vor nicht an Abmachungen und ändere getroffene Abmachungen ein- seitig wieder ab. Auch glänze er immer wieder durch Unzuverlässigkeit. So habe er beispielsweise am Elternabend des Kindergartens, welcher in seine Betreuungszeit gefallen sei, nicht teilgenommen, obwohl er seine Teilnahme zugesichert habe. Für den Beschwerdeführer stehe offensicht- lich nicht das Kindeswohl von C. im Vordergrund, so habe er beispielsweise auch seine Zustimmung zur Kindergartenanmeldung erst nach Intervention der KESB Q. erteilt. Aus den Berichten des Beistandes ergebe sich, dass die Eltern nicht einmal in der Lage seien, die Übergabe von C. so durchzuführen, dass das Kin- deswohl nicht gefährdet sei. Aus diesem Grund habe der Beistand eine Übergabe ohne das Aufeinandertreffen der Eltern vorgeschlagen. Gemäss Einschätzung des Beistandes in seinem Zwischenbericht vom 31. Juli 2021 sei nicht einmal eine Mediation möglich, da die Eskalationsstufe im Moment zu hoch sei. Für eine alternierende Obhut sei jedoch ein regelmässiger und konstruktiver Dialog zwischen den Eltern unabdingbar. C. brauche Sicherheit und einen geregelten Tagesablauf. Dieser sei aktuell gewährleistet. Er habe sich endlich beruhigt und Vertrauen gewonnen. Seine Situation habe sich massiv verbessert, seit er überwiegend von sei- ner Mutter betreut werde. Schliesslich sei darauf hinzuweisen, dass der Beschwerdeführer per Ende Dezember 2021 den Bezug der Kinderzulagen bei seiner Ausgleichskasse grundlos abgemeldet habe und sich geweigert habe, der Kindsmutter die</w:t>
      </w:r>
    </w:p>
    <w:p>
      <w:r>
        <w:t>- 10 - Unterlagen, welche diese ihrerseits zum Bezug der Kinderzulagen benö- tige, herauszugeben. Die Kindsmutter habe die Unterlagen dann kosten- pflichtig neu bestellen müssen. Dass der Beschwerdeführer eine realitätsfremde Wahrnehmung habe, zeige sich im Übrigen auch in seiner Behauptung, der aktuelle Beistand vertrete nur die Interessen der Kindsmutter. Der Beistand habe zahlreichen Kontakt zu beiden Elternteilen. Der Kontakt mit dem Beschwerdeführer sei sogar weit intensiver gewesen als jener mit der Kindsmutter. 3.</w:t>
      </w:r>
    </w:p>
    <w:p>
      <w:r>
        <w:rPr>
          <w:b/>
        </w:rPr>
        <w:t>E. 2.6</w:t>
      </w:r>
    </w:p>
    <w:p>
      <w:r>
        <w:t>Mit Eingabe vom 1. März 2022 mandatierte sich Rechtsanwalt Hunziker als Vertreter des Beschwerdeführers. Mit Stellungnahme vom 14. März 2022 liess der Beschwerdeführer daraufhin folgende Anträge stellen: "1. Dispositivziffer 2 des Entscheids des Familiengerichts Q. vom 30. No- vember 2021 sei aufzuheben und wie folgt neu zu fassen: 2.</w:t>
      </w:r>
    </w:p>
    <w:p>
      <w:r>
        <w:rPr>
          <w:b/>
        </w:rPr>
        <w:t>E. 3</w:t>
      </w:r>
    </w:p>
    <w:p>
      <w:r>
        <w:t>Die elterliche Sorge wird beiden Eltern gemeinsam belassen.</w:t>
      </w:r>
    </w:p>
    <w:p>
      <w:r>
        <w:rPr>
          <w:b/>
        </w:rPr>
        <w:t>E. 3.1</w:t>
      </w:r>
    </w:p>
    <w:p>
      <w:r>
        <w:t>Die Grundvoraussetzung der Erziehungsfähigkeit für die Anordnung einer alternierenden Obhut ist bei beiden Elternteilen vorhanden. Sodann ist auch die erforderliche zeitliche Verfügbarkeit bei beiden Elternteilen zu be- jahen und in räumlicher Hinsicht ist festzustellen, dass beide Elternteile in Q. wohnen, womit diesbezüglich keine Hindernisse betreffend eine alter- nierende Obhut bestehen.</w:t>
      </w:r>
    </w:p>
    <w:p>
      <w:r>
        <w:rPr>
          <w:b/>
        </w:rPr>
        <w:t>E. 3.2</w:t>
      </w:r>
    </w:p>
    <w:p>
      <w:r>
        <w:t>Mit Blick auf die Stabilität und Kontinuität der familiären Verhältnisse und der Betreuungssituation ist festzuhalten, dass sich die Eltern nach der Trennung bis Anfang 2020 bezüglich des Besuchsrechts weitgehend eini- gen konnten und der Beschwerdeführer C. wöchentlich während drei Ta- gen betreute. Danach kam es aufgrund der eingeschränkten Elternkommu- nikation vermehrt zu Schwierigkeiten bei der Umsetzung dieses Besuchs- rechts. Die Situation der ersten Jahre nach der Trennung mit dem umfang- reichen Besuchsrecht muss nicht zwingend für die gesamte Zukunft weiter- gelten, da sich die Umstände im Laufe der Zeit auch ändern können. Inso- fern ist das nach der Trennung ausgeübte und nun schon über zwei Jahre zurückliegende umfangreiche Besuchsrecht nicht das entscheidende Krite- rium für die Anordnung einer alternierenden Obhut. Seit dem Entscheid des Familiengerichts Q. vom 29. April 2021 ist C. nun jede zweite Woche von Dienstagabend bis Donnerstagabend bei seinem Vater. Dadurch ist es zu einer gewissen Entspannung der Situation gekommen. Seitdem es eine klare Struktur und weniger Wechsel der Aufenthalte gebe, habe die Mutter bei C. eine Beruhigung und positive Entwicklung festgestellt (vgl. act. 4, 29). Dieses Bedürfnis nach Ruhe und Stabilität für C. spricht grundsätzlich gegen einen wöchentlich stattfindenden zweimaligen Wechsel von einem zum andern Elternteil. Es ist davon auszugehen, dass solche häufigen Wechsel unter der Woche für C., welcher im Sommer 2021 in den Kinder- garten eingeschult wurde, unter den vorliegenden Umständen verunsi- chernd, belastend und mit Stress verbunden wären. Die aktuelle Situation mit dem alle zwei Wochen stattfindenden ausgedehnten Besuchsrecht ist somit im Sinne der Stabilität und des Kindeswohls zu bevorzugen.</w:t>
      </w:r>
    </w:p>
    <w:p>
      <w:r>
        <w:t>- 11 -</w:t>
      </w:r>
    </w:p>
    <w:p>
      <w:r>
        <w:rPr>
          <w:b/>
        </w:rPr>
        <w:t>E. 3.3</w:t>
      </w:r>
    </w:p>
    <w:p>
      <w:r>
        <w:t>Eine alternierende Obhut ist nur umsetzbar, wenn die Eltern fähig und be- reit sind, in Kinderbelangen laufend miteinander zu kommunizieren und zu kooperieren. Eine alternierende Obhut kann die Spannungen zwischen den Eltern aufgrund des notwendigen regelmässigen Kontakts verstärken. Da- her sind gegenseitige Absprachen eine essentielle Grundlage dafür, dass die alternierende Obhut im Alltag funktionieren kann. In der Vergangenheit ist der Beschwerdeführer gemäss den Beratern der […] Q. in der Kommunikation zum Teil laut, abwertend, despektierlich und verletzend der Mutter gegenüber aufgetreten. Er habe damit aktiven Druck auf die Mutter und die Situation ausgeübt (vgl. Sozialbericht Kindesschutz vom 11. Februar 2021 S. 8 im Verfahren KEKV.2020.54). Die Dynamik zwi- schen den Eltern wird von sämtlichen involvierten Fachpersonen als hoch- konflikthaft beschrieben. Es bestehen hinsichtlich der Obhuts- und Be- suchsregelung erhebliche Schwierigkeiten einen Konsens zwischen den Eltern zu finden. Im Sozialbericht vom 11. Februar 2021 wurde bereits fest- gehalten, dass die Hochstrittigkeit für C. mittelfristig schwerwiegende Kon- sequenzen haben und ihn in seiner Entwicklung und seinen Entwicklungs- aufgaben hemmen könne (S. 10). Im Zwischenbericht des Beistandes vom 22. Juni 2021 wurde nach wie vor festgehalten, dass eine missverständnis- und konfliktfreie, direkte Kommunikation zurzeit nicht möglich scheine und auch für eine Mediation die Eskalationsstufe zu hoch sei (vgl. act. 4). Die Akten zeigen auch in anderen Kinderbelangen ein Kommunikations- und Kooperationsdefizit der Eltern. So konnten sich die Eltern in Bezug auf einen Spielgruppenbesuch an einem weiteren Vormittag und den Kinder- garteneintritt von C. nicht einigen. So wollte der Vater den Kindergartenein- tritt trotz altersentsprechender Entwicklung von C. und der Einschätzung der Spielgruppenleiterin sowie der Kinderärztin, welche einen Kindergar- teneintritt im Sommer 2021 als adäquat erachtet haben, um ein Jahr ver- schieben (vgl. Sozialbericht Kindesschutz vom 11. Februar 2021 S. 3, 5 und 9 im Verfahren KEKV.2020.54). Erst nach Intervention des Familien- gerichts nahm der Beschwerdeführer schliesslich die Anmeldung für einen weiteren Spielgruppenbesuch und die definitive Kindergartenanmeldung für den Sommer 2021 vor (vgl. Verfahren KEKV.2020.54). Die fehlende Kommunikations- und Kooperationsbereitschaft zeigte sich jüngst bei- spielsweise bei der vom Beschwerdeführer vorgenommenen Abmeldung der Kinderzulagen per Ende Dezember 2021 und ebenfalls in schulorgani- satorischer Hinsicht (Teilnahme am Elternabend) [vgl. E. 2.5. hiervor]. Angesichts der aktenkundigen Kommunikationseinschränkungen erscheint es zweifelhaft, ob die Eltern in der Lage wären, sich über das Nötigste zum Wohl des Kindes abzusprechen und Organisatorisches zu organisieren. Die Kooperationsfähigkeit der Eltern verdient besondere Beachtung, so- bald das Kind schulpflichtig ist und wie vorliegend ein häufiger Wechsel</w:t>
      </w:r>
    </w:p>
    <w:p>
      <w:r>
        <w:t>- 12 - unter der Woche beantragt wird. Im Rahmen einer alternierenden Obhut müssen sich die Eltern dauernd gegenseitig über die Schul- und Freizeit- aktivitäten, allfällige Arztbesuche, später auch über die Hausaufgaben und Hobbies etc. austauschen. Gewisse alltägliche organisatorische Massnah- men und gegenseitige Informationen sind innert kurzer Zeit zu treffen und können daher kaum durch die Vermittlung eines Beistands erfolgen. In der Vergangenheit gestalteten sich die persönlichen Übergaben von C. proble- matisch und nicht ohne Beeinträchtigung des Kindeswohls (vgl. act. 4), weshalb dies zukünftig zu vermeiden ist und ein Informationsaustausch an- lässlich der Übergaben ausser Betracht fällt. In Bezug auf den vom Bei- stand vorgeschlagenen Austausch der Übergabeinformationen in schriftli- cher Form hält die Vorinstanz zu Recht fest, dass dabei C. in den Eltern- konflikt miteinbezogen würde, was unbedingt zu vermeiden sei und nicht mit dem Kindeswohl vereinbar wäre. Dass sich C. bereits in einem Loyali- tätskonflikt befindet, zeigen seine unterschiedlichen Aussagen beim jewei- ligen Elternteil. So frage C. gemäss der Mutter nicht nach mehr Kontakten beim Vater. Gemäss dem Vater hingegen frage C. bei ihm nach längeren und häufigeren Besuchen (vgl. act. 4). Es ist nicht untypisch für ein Kind in dieser Situation, dass es den meist unbewusst geäusserten Erwartungen des anderen Elternteils zu entsprechen versucht. Vorliegend erscheint es von enormer Wichtigkeit, den Loyalitätskonflikt von C. nicht weiter zu inten- sivieren. Dies ist jedoch nur möglich, wenn sich die Obhuts- und Familien- situation in Zukunft beruhigt. Die vorliegend dargelegte problematische Kommunikationskultur lässt nicht ansatzweise annehmen, dass alltägliche Absprachen mehr oder we- niger konfliktfrei im Interesse des Kindes getroffen und der gegenseitige Informationsaustausch gewährleistet werden können. Es ist vielmehr anzu- nehmen, dass die im Rahmen der alternierenden Obhut vermehrt zu tref- fenden Absprachen zu zusätzlichem Konfliktpotential zwischen den Eltern führen würden. Dieser Aspekt spricht daher gegen die alternierende Obhut.</w:t>
      </w:r>
    </w:p>
    <w:p>
      <w:r>
        <w:rPr>
          <w:b/>
        </w:rPr>
        <w:t>E. 3.4</w:t>
      </w:r>
    </w:p>
    <w:p>
      <w:r>
        <w:t>Zusammenfassend ist die vom Beschwerdeführer beantragte Anordnung einer alternierenden Obhut aufgrund der Kommunikations- und Kooperati- onseinschränkungen der Parteien und mit Blick auf die Stabilität und Kon- tinuität der seit rund einem Jahr geltenden Betreuungsregelung nicht mit dem Wohl von C. vereinbar. Die Rüge, die Vorinstanz habe zu Unrecht die alleinige Obhutszuteilung an die Mutter bestätigt, erweist sich daher als un- begründet und die Beschwerde ist diesbezüglich abzuweisen. 4. In Bezug auf den vom Beschwerdeführer mit Beschwerdeeingabe vom 29. Dezember 2021 beantragten Mandatsträgerwechsel gilt festzuhalten, dass ein solcher Antrag nicht Gegenstand des vorliegenden Beschwerde-</w:t>
      </w:r>
    </w:p>
    <w:p>
      <w:r>
        <w:t>- 13 - verfahrens ist, weshalb darauf mangels sachlicher Zuständigkeit nicht ein- zutreten ist. Im Übrigen hat das Familiengericht Q. am 22. Februar 2022 einen entsprechenden vom Beschwerdeführer am 6. Januar 2022 bei der Vorinstanz beantragten Mandatsträgerwechsel abgelehnt. 5.</w:t>
      </w:r>
    </w:p>
    <w:p>
      <w:r>
        <w:rPr>
          <w:b/>
        </w:rPr>
        <w:t>E. 4</w:t>
      </w:r>
    </w:p>
    <w:p>
      <w:r>
        <w:t>Zum Beistand wird D., […], ernannt.</w:t>
      </w:r>
    </w:p>
    <w:p>
      <w:r>
        <w:t>- 3 -</w:t>
      </w:r>
    </w:p>
    <w:p>
      <w:r>
        <w:rPr>
          <w:b/>
        </w:rPr>
        <w:t>E. 5.1</w:t>
      </w:r>
    </w:p>
    <w:p>
      <w:r>
        <w:t>Derjenige Elternteil, dem die Obhut nicht zusteht, und das unmündige Kind haben gegenseitig Anspruch auf angemessenen persönlichen Verkehr (Art. 273 Abs. 1 ZGB). Die Bemessung des Besuchsrechts hat aufgrund der konkreten Umstände zu erfolgen und auf die Bedürfnisse und Interes- sen des Kindes sowie die Bedürfnisse und Möglichkeiten beider Eltern Rücksicht zu nehmen.</w:t>
      </w:r>
    </w:p>
    <w:p>
      <w:r>
        <w:rPr>
          <w:b/>
        </w:rPr>
        <w:t>E. 5.2</w:t>
      </w:r>
    </w:p>
    <w:p>
      <w:r>
        <w:t>Das im angefochtenen Entscheid festgelegte zweiwöchentlich stattfin- dende Besuchsrecht des Vaters von Dienstagabend (17:30 Uhr) bis Don- nerstagabend (17:30 Uhr) erscheint im Rahmen der alleinigen Obhutszu- teilung an die Mutter angemessen. Jedoch legt die Vorinstanz die Regelung der Ferien und Feiertage in die Kompetenz des Beistandes, weshalb dies- bezüglich eine klare Regelung fehlt. Die Durchsetzung des Ferienrechts bzw. des Besuchsrechts an Feiertagen ist gestützt auf den angefochtenen Entscheid der Vorinstanz damit nicht möglich. Die Sache ist daher zur Re- gelung eines angemessenen Ferienrechts und Besuchsrechts über die Fei- ertage unter Berücksichtigung der aktuellen Verhältnisse an die Vorinstanz zurückzuweisen. 6.</w:t>
      </w:r>
    </w:p>
    <w:p>
      <w:r>
        <w:rPr>
          <w:b/>
        </w:rPr>
        <w:t>E. 6.1</w:t>
      </w:r>
    </w:p>
    <w:p>
      <w:r>
        <w:t>Ausgangsgemäss sind die obergerichtlichen Verfahrenskosten gemäss § 38 Abs. 3 EG ZGB i.V.m. Art. 106 Abs. 1 ZPO dem Beschwerdeführer aufzuerlegen und er hat der Mutter deren Parteikosten für das Beschwer- deverfahren zu ersetzen.</w:t>
      </w:r>
    </w:p>
    <w:p>
      <w:r>
        <w:rPr>
          <w:b/>
        </w:rPr>
        <w:t>E. 6.2</w:t>
      </w:r>
    </w:p>
    <w:p>
      <w:r>
        <w:t>Vorbehalten bleiben Umstände, die allenfalls eine Änderung der Mass- nahme erfordern könnten. Über solche Umstände ist die Kindesschutzbe- hörde unabhängig von den Berichtsperioden unverzüglich zu informieren.</w:t>
      </w:r>
    </w:p>
    <w:p>
      <w:r>
        <w:rPr>
          <w:b/>
        </w:rPr>
        <w:t>E. 6.2.1</w:t>
      </w:r>
    </w:p>
    <w:p>
      <w:r>
        <w:t>Der Beschwerdeführer hat ein Gesuch um Gewährung der unentgeltlichen Rechtspflege und -verbeiständung gestellt. Zur Begründung führte der Be- schwerdeführer aus, seit dem 20. Februar 2022 arbeitslos zu sein und bis anhin noch keine Leistungen der Arbeitslosenversicherung erhalten zu ha- ben.</w:t>
      </w:r>
    </w:p>
    <w:p>
      <w:r>
        <w:rPr>
          <w:b/>
        </w:rPr>
        <w:t>E. 6.2.2</w:t>
      </w:r>
    </w:p>
    <w:p>
      <w:r>
        <w:t>Eine Person hat Anspruch auf unentgeltliche Rechtspflege, wenn sie nicht über die erforderlichen Mittel verfügt und ihr Rechtsbegehren nicht aus- sichtslos erscheint (§ 38 Abs. 3 EG ZGB i.V.m. Art. 117 ZPO).</w:t>
      </w:r>
    </w:p>
    <w:p>
      <w:r>
        <w:t>- 14 -</w:t>
      </w:r>
    </w:p>
    <w:p>
      <w:r>
        <w:rPr>
          <w:b/>
        </w:rPr>
        <w:t>E. 6.2.3</w:t>
      </w:r>
    </w:p>
    <w:p>
      <w:r>
        <w:t>Bedürftig im Sinne der Voraussetzungen der unentgeltlichen Rechtspflege ist, wer die erforderlichen Gerichts- und Parteikosten nur bezahlen kann, indem er die Mittel heranzieht, die er eigentlich zur Deckung des Grund- bedarfs für sich und seine Familie braucht (BGE 135 I 221 E. 5.1). Zu be- rücksichtigen sind einerseits sämtliche finanziellen Verpflichtungen des Gesuchstellers, anderseits nicht nur die Einkünfte, sondern auch die frei verfügbaren Vermögenswerte. Die Einkommens- und Vermögenssituation des Gesuchstellers ist in Beziehung zur Höhe der mutmasslich anfallenden Prozesskosten zu setzen und es ist zu prüfen, ob er in der Lage ist, die zu erwartenden Prozesskosten aus seinem Vermögen oder seinem den soge- nannten zivilprozessualen Zwangsbedarf übersteigenden Einkommens- überschuss innert absehbarer Zeit, bei weniger aufwendigen Prozessen in- nert Jahresfrist, bei anderen innert zweier Jahre, zu tilgen (BGE 135 I 221 E. 5.1 mit Hinweisen; Urteile des Bundesgerichts 5D_82/2010 E. 2; 5P.219/2003 E. 2.2; 5P.390/2001 E. 2b).</w:t>
      </w:r>
    </w:p>
    <w:p>
      <w:r>
        <w:rPr>
          <w:b/>
        </w:rPr>
        <w:t>E. 6.2.4</w:t>
      </w:r>
    </w:p>
    <w:p>
      <w:r>
        <w:t>Für die Beurteilung der Mittellosigkeit hat die gesuchstellende Person ihre Einkommens- und Vermögensverhältnisse darzulegen und sich zur Sache sowie über ihre Beweismittel zu äussern (Art. 119 Abs. 2 Satz 1 ZPO). Es gilt der Untersuchungsgrundsatz (Art. 255 lit. b ZPO), der durch die Mitwir- kungspflicht der gesuchstellenden Person eingeschränkt wird (BÜHLER, in: Berner Kommentar, Schweizerische Zivilprozessordnung, 2012, N. 35 ff. zu Art. 119 ZPO). Das Gericht hat die unbeholfene Partei auf die zur Beur- teilung des Gesuchs erforderlichen Angaben und Unterlagen hinzuweisen und ihr eine Nachfrist zur Einreichung fehlender Angaben und Unterlagen anzusetzen. Eine anwaltlich vertretene Partei hat die zur Beurteilung not- wendigen Belege unaufgefordert einzureichen, ansonsten behauptete Be- träge und Zahlungen nicht berücksichtigt werden können (AGVE 2002 Nr. 17 S. 68 ff.). Eine Nachfrist ist der anwaltlich vertretenen Partei nicht einzuräumen (Urteil des Bundesgerichts 4D_69/2016 vom 28. November 2016 E. 5.4.3.). Vielmehr kann das Gesuch mangels ausreichender Sub- stantiierung oder mangels Bedürftigkeitsnachweises abgewiesen werden, wenn der Gesuchsteller seinen Obliegenheiten nicht (genügend) nach- kommt (Urteile des Bundesgerichts 4A_44/2018 vom 5. März 2018 E. 5.3, 4D_69/2016 vom 28. November 2016 E. 5.4.3 und 5A_62/2016 vom 17. Oktober 2016 E. 5.3).</w:t>
      </w:r>
    </w:p>
    <w:p>
      <w:r>
        <w:rPr>
          <w:b/>
        </w:rPr>
        <w:t>E. 6.2.5</w:t>
      </w:r>
    </w:p>
    <w:p>
      <w:r>
        <w:t>Der anwaltlich vertretene Beschwerdeführer hat sich nicht über seine Ver- mögenssituation geäussert und diesbezüglich auch keine Unterlagen ein- gereicht (z.B. aktuelle Steuererklärung, letzte Steuerveranlagung etc.). Der anwaltlich vertretene Beschwerdeführer hat damit seine Mitwirkungspflicht verletzt bzw. nicht belegt, dass er nicht die finanziellen Mittel besitze, aus</w:t>
      </w:r>
    </w:p>
    <w:p>
      <w:r>
        <w:t>- 15 - welchen er die Bestreitung des vorliegenden Verfahrens begleichen könnte. Das Gesuch des Beschwerdeführers um unentgeltliche Rechts- pflege und -verbeiständung ist damit abzuweisen.</w:t>
      </w:r>
    </w:p>
    <w:p>
      <w:r>
        <w:rPr>
          <w:b/>
        </w:rPr>
        <w:t>E. 6.3</w:t>
      </w:r>
    </w:p>
    <w:p>
      <w:r>
        <w:t>Die Mutter hat Anspruch auf eine Parteientschädigung. Das vom Rechts- vertreter der Mutter geltend gemachte Honorar von Fr. 1'227.50 erscheint angemessen und ist nicht zu beanstanden. Unter Berücksichtigung der ausgewiesenen Spesen von Fr. 46.50 und des Mehrwertsteuerzuschlags ist die Parteientschädigung für das Beschwerdeverfahren vor Obergericht auf Fr. 1'372.10 festzusetzen. Die Kammer für Kindes- und Erwachsenenschutz beschliesst: Das Gesuch des Beschwerdeführers um Bewilligung der unentgeltlichen Rechtspflege und -verbeiständung für das Beschwerdeverfahren wird ab- gewiesen. Die Kammer für Kindes- und Erwachsenenschutz entscheidet: 1. Die Beschwerde wird abgewiesen, soweit darauf eingetreten werden kann. 2. Die Sache wird zur Regelung eines angemessenen Ferienrechts und Be- suchsrechts über die Feiertage unter Berücksichtigung der aktuellen Ver- hältnisse an das Familiengericht Q. zurückgewiesen. 3. Die obergerichtlichen Verfahrenskosten von Fr. 800.00 werden dem Be- schwerdeführer auferlegt und mit dem von ihm geleisteten Kostenvor- schuss verrechnet. 4. Der Beschwerdeführer wird verpflichtet, der Mutter eine Parteientschädi- gung von Fr. 1'372.10 (inkl. Auslagen und MwSt.) für das Beschwerdever- fahren zu bezahlen.</w:t>
      </w:r>
    </w:p>
    <w:p>
      <w:r>
        <w:rPr>
          <w:b/>
        </w:rPr>
        <w:t>E. 7</w:t>
      </w:r>
    </w:p>
    <w:p>
      <w:r>
        <w:t>Auf die Erhebung einer Gerichtsgebühr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