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XBE.2017.99 vom 20. August 2018</w:t>
      </w:r>
    </w:p>
    <w:p>
      <w:r>
        <w:t>Ag Zivilgericht, 2018-08-20, DE</w:t>
      </w:r>
    </w:p>
    <w:p>
      <w:r>
        <w:rPr>
          <w:b/>
        </w:rPr>
        <w:t xml:space="preserve">Quelle: </w:t>
      </w:r>
      <w:r>
        <w:t>https://mcp.opencaselaw.ch/entscheid/ag_zivilgericht_XBE.2017.99</w:t>
      </w:r>
    </w:p>
    <w:p>
      <w:r>
        <w:t>FR: AG_ZIVILGERICHT XBE.2017.99 du 20 août 2018</w:t>
      </w:r>
    </w:p>
    <w:p>
      <w:r>
        <w:t>IT: AG_ZIVILGERICHT XBE.2017.99 del 20 agosto 2018</w:t>
      </w:r>
    </w:p>
    <w:p>
      <w:pPr>
        <w:pStyle w:val="Heading2"/>
      </w:pPr>
      <w:r>
        <w:t>Regeste</w:t>
      </w:r>
    </w:p>
    <w:p>
      <w:r>
        <w:t>§55 GOG; § 56 GOG Im Spruchkörper des Familiengerichts als Kindes-und Erwachsenenschutzbehörde haben mindestens zwei Fachrichterinnen bzw. Fachrichtermitzuwirken, um die Interdisziplinarität sicherzustellen.</w:t>
      </w:r>
    </w:p>
    <w:p>
      <w:pPr>
        <w:pStyle w:val="Heading2"/>
      </w:pPr>
      <w:r>
        <w:t>Erwägungen</w:t>
      </w:r>
    </w:p>
    <w:p>
      <w:r>
        <w:rPr>
          <w:b/>
        </w:rPr>
        <w:t>E. 40</w:t>
      </w:r>
    </w:p>
    <w:p>
      <w:r>
        <w:t>Art. 450 Abs. 2 ZGB Keine Beschwerdelegitimation von Behörden und Gemeinden im Kindes und Erwachsenenschutzrecht, wenn lediglich die finanziellen Folgen der Verwaltungstätigkeit angefochten sind und über die finanziellen Folgen hinaus kein rechtlich geschütztes Interesse die Erfüllung öffentlichrecht licher Aufgaben tangiert, welches durch das Kindes und Erwachsenen schutzrecht zu schützen ist. Aus dem Entscheid des Obergerichts, Kammer für Kindes und Erwachsenenschutz, vom 13.April 2018 in Sachen KESD L (XBE.2018.8). Aus den Erwägungen 2.2. Gemäss Art. 450 Abs. 1 Ziff. 1 ZGB ist die am Verfahren beteiligte Person zur Beschwerde legitimiert und gestützt auf Art.450 Abs. 2 Ziff. 2 ZGB ist zudem legitimiert, wer der betroffenen Person nahe steht und daher geeignet erscheint, deren Interessen wahrzunehmen. Nimmt die Drittperson eigene Interessen wahr, ist unerheblich, ob sie als nahestehende Person qualifiziert werden könnte, da diesfalls ihre Beschwerdelegitimation sich nach den Voraussetzungen von Art. 450 Abs. 2 Ziff. 3 ZGB richtet (vgl.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