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KBE.2026.4 vom 12. März 2026</w:t>
      </w:r>
    </w:p>
    <w:p>
      <w:r>
        <w:t>Ag Zivilgericht, 2026-03-12, DE</w:t>
      </w:r>
    </w:p>
    <w:p>
      <w:r>
        <w:rPr>
          <w:b/>
        </w:rPr>
        <w:t xml:space="preserve">Quelle: </w:t>
      </w:r>
      <w:r>
        <w:t>https://mcp.opencaselaw.ch/entscheid/ag_zivilgericht_KBE.2026.4</w:t>
      </w:r>
    </w:p>
    <w:p>
      <w:r>
        <w:t>FR: AG_ZIVILGERICHT KBE.2026.4 du 12 mars 2026</w:t>
      </w:r>
    </w:p>
    <w:p>
      <w:r>
        <w:t>IT: AG_ZIVILGERICHT KBE.2026.4 del 12 marzo 2026</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2.1</w:t>
      </w:r>
    </w:p>
    <w:p>
      <w:r>
        <w:t>Für das Verfahren vor der oberen kantonalen Aufsichtsbehörde über die Betreibungsämter sind die Bestimmungen des Beschwerdeverfahrens ge- mäss Art. 319 ff. ZPO sinngemäss anwendbar (Art. 20a Abs. 3 SchKG i.V.m. § 22 Abs. 2 EG SchKG). Die Beschwerde ist schriftlich, mit Anträgen versehen und begründet einzureichen (Art. 321 Abs. 1 ZPO). Neue An- träge, neue Tatsachenbehauptungen und neue Beweismittel sind ausge- schlossen (Art. 326 Abs. 1 ZPO). 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 nen. Es muss daher knapp dargelegt werden, worin die gerügte Rechtsver- letzung oder Unangemessenheit besteht. Der Beschwerdeführer hat dazu</w:t>
      </w:r>
    </w:p>
    <w:p>
      <w:r>
        <w:t>- 4 -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ansetzen (vgl. BGE 138 III 374 E. 4.3.1, Urteil des Bundesgerichts 4A_271/2016 vom 16. Januar 2017 E. 4.3; FRANCO LORANDI, Betreibungsrechtliche Be- schwerde und Nichtigkeit, 2000, N. 43 zu Art. 20a SchKG; KARL SPÜHLER, in: Basler Kommentar, Schweizerische Zivilprozessordnung, 4. Aufl. 2024,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2.2.1</w:t>
      </w:r>
    </w:p>
    <w:p>
      <w:r>
        <w:t>Die Vorinstanz wies die bei ihr erhobene Beschwerde mit folgender Be- gründung ab: " 6.2 Vorliegend beantragt der Beschwerdeführer sinngemäss die Feststellung der Nichtigkeit der Konkursandrohungen. Der Beschwerdeführer bringt vor, dass dem Betreibungsamt Q._____ eine amtliche Legitimation fehle. Zudem seien ihm die Konkursandrohungen vom Betreibungsamt unter ei- nem falschen Namen aufgezwungen worden. Die Sendungen seien man- gels Briefmarke unfrankiert und somit nicht versichert. Die Zustellungen seien daher nicht gültig an ihn erfolgt. Ausserdem bringt der Beschwerdeführer noch verschiedene Einwendun- gen gegen den Bestand der Forderungen vor. Den Gläubigern würde es an der hoheitlichen Befugnis als staatliche Behörden aufzutreten fehlen, weshalb sie handelsrechtlich auftreten würden. Zwischen den Gläubigern und ihm würden aber keine vertragliche Beziehungen bestehen, weshalb ihm zu Unrecht Forderungen auferlegt worden seien. Wie vorstehend […] erläutert, können mittels betreibungsrechtlicher Beschwerde keine inhaltli- che Einwendungen gegen die Forderungen geltend gemacht werden, wes- halb auf diese Vorbringen des Beschwerdeführers in diesem Verfahren nicht weiter einzugehen ist. […]</w:t>
      </w:r>
    </w:p>
    <w:p>
      <w:r>
        <w:t>- 5 -</w:t>
      </w:r>
    </w:p>
    <w:p>
      <w:r>
        <w:rPr>
          <w:b/>
        </w:rPr>
        <w:t>E. 2.3</w:t>
      </w:r>
    </w:p>
    <w:p>
      <w:r>
        <w:t>In seiner Beschwerde an die Schuldbetreibungs- und Konkurskommission setzt sich der Beschwerdeführer mit dieser Begründung des angefochtenen Entscheids nicht auseinander. Vielmehr macht er unter Bezugnahme auf das Stichwort "Treuhantbetrug" lediglich pauschal geltend, der angefoch- tene Entscheid sei "nichtig/ungültig". Eine darüber hinausgehende Begrün- dung enthält die Beschwerde nicht. Insbesondere legt der Beschwerdefüh- rer nicht dar, weshalb es sich beim angefochtenen Entscheid um einen "Treuhantbetrug" handeln soll. Mit keinem Wort geht er auf die Begründung im angefochtenen Entscheid ein. Die Eingabe des Beschwerdeführers vom 29. Januar 2026 genügt damit den in E. 2.1 hiervor genannten Anforderun- gen an eine Beschwerde i.S.v. Art. 18 Abs. 1 SchKG nicht, weshalb darauf nicht einzutreten ist. 3. 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r>
        <w:rPr>
          <w:b/>
        </w:rPr>
        <w:t>E. 7</w:t>
      </w:r>
    </w:p>
    <w:p>
      <w:r>
        <w:t>[…]</w:t>
      </w:r>
    </w:p>
    <w:p>
      <w:r>
        <w:rPr>
          <w:b/>
        </w:rPr>
        <w:t>E. 7.3</w:t>
      </w:r>
    </w:p>
    <w:p>
      <w:r>
        <w:t>Nach Art. 88 Abs. 1 SchKG kann der Gläubiger frühestens nach 20 Tagen das Fortsetzungsbegehren stellen, sofern die Betreibung nicht durch Rechtsvorschlag oder gerichtlichen Entscheid eingestellt worden ist. Ge- mäss den Geschäftsprotokollen der Betreibungen Nrn. aaa, bbb und ccc erhob der Beschwerdeführer in keiner Betreibung Rechtsvorschlag (vgl. Beilagen 1-3 des Amtsberichts). Nach Art. 159 SchKG droht das Betrei- bungsamt nach Empfang des Fortsetzungsbegehrens dem Schuldner un- verzüglich den Konkurs an. Da die Gläubiger in den Betreibungen Nrn. aaa, bbb und ccc am 1. Mai 2025 resp. 3. Juni 2025 das Fortsetzungsbe- gehren auf Konkurs gestellt haben (vgl. Beilagen 1-3 des Amtsberichts), stellte das Betreibungsamt Region Q._____ die Konkursandrohungen am 1. Mai 2025 bzw. 3. Juni 2025 richtigerweise aus.</w:t>
      </w:r>
    </w:p>
    <w:p>
      <w:r>
        <w:rPr>
          <w:b/>
        </w:rPr>
        <w:t>E. 7.4</w:t>
      </w:r>
    </w:p>
    <w:p>
      <w:r>
        <w:t>Der Beschwerdeführer bringt vor, dass die Konkursandrohungen ihm unter falschem Namen aufgezwungen worden seien. Die Konkursandrohungen des Betreibungsamtes Region Q._____ seien an B.A._____ adressiert, dies sei nicht sein offizieller Name. Der Zweck der Angaben, welche in einer Betreibungsurkunde zur Person des Gläubigers und des Schuldners gemacht werden, besteht darin die Person eindeutig zu identifizieren. Nur eine unklare Parteibezeichnung führt zur Nichtigkeit. Falls eine unrichtige Parteibezeichnung über die Iden- tität des Schuldners nach Treu und Glauben keine Zweifel hegen konnten und ihre Interessen nicht beeinträchtigt worden sind, wird eine fehlerhafte Parteibezeichnung sogar bei rechtzeitiger Anfechtung geheilt (Urteil des Bundesgerichts 5A_34/2016 vom 30. Mai 2015 E. 3.3.1.; BGE 102 III 63 E. 2 m.w.H.). Gemäss dem Heimatschein (vgl. Beilage 5 des Amtsberichts vom Betrei- bungsamt Region Q._____) ist der Vorname des Beschwerdeführers A._____ und der Familienname B._____. Vorliegend hat das Betreibungs- amt Region Q._____ die Betreibungsurkunden mit B.A._____ adressiert. In sämtlichen Betreibungsurkunden nennt das Betreibungsamt zuerst den Namen und dann den Vornamen des Beschwerdeführers. Die umgekehrte Nennung von Vor- und Nachnamen lässt jedoch keine Zweifel über die Identität des Schuldners entstehen. Das Betreibungsamt hat immer die korrekte Adresse des Schuldners verwendet, so konnten die Betreibungs- urkunden dem Beschwerdeführer auch problemlos zugestellt werden. Die Identität des Beschwerdeführers steht durch die vom Betreibungsamt ver- wendete Namensnennung unzweideutig fest. Die verwendete Parteibe- zeichnung ist klar und führt nicht zur Ungültigkeit der vorliegenden Betrei- bungsurkunden.</w:t>
      </w:r>
    </w:p>
    <w:p>
      <w:r>
        <w:rPr>
          <w:b/>
        </w:rPr>
        <w:t>E. 7.5</w:t>
      </w:r>
    </w:p>
    <w:p>
      <w:r>
        <w:t>Als letztes bringt der Beschwerdeführer vor, dass die brieflichen Sendun- gen nicht frankiert und damit nicht versichert gewesen seien. Mangels an- gebrachten Wertzeichen und Versicherung würden die Sendungen des- halb als nicht zugestellt gelten. Für die Zustellung von Zahlungsbefehlen sowie Konkursandrohungen gilt Art. 72 SchKG (vgl. Art. 161 SchKG). Gemäss Art. 72 Abs. 1 SchKG hat</w:t>
      </w:r>
    </w:p>
    <w:p>
      <w:r>
        <w:t>- 6 - die Zustellung durch einen Betreibungsbeamten, einen Angestellten des Amtes oder durch die Post zu erfolgen. Der zustellende Beamte oder Post- bote hat eine Zustellungsbescheinigung auf der Betreibungsurkunde an- zubringen, die Auskunft darüber gibt, wann und an wen die Zustellung er- folgt ist. Die Konkursandrohung in der Betreibung Nr. ccc vom Betrei- bungsamt Region Q._____ wurde am 6. Mai 2025 dem Beschwerdeführer persönlich übergeben. Die Konkursandrohungen in den Betreibungen Nrn. aaa und bbb vom 3. Juni 2025 wurden ebenfalls dem Adressaten per- sönlich übergeben. Die Zustellung der vorgenannten Konkursandrohun- gen erfolgte am 17. Juni 2025. Der zustellende Beamte hat dies jeweils mit Unterschrift bestätigt. Die Zustellungen der Konkursandrohungen wurden durch das Betreibungsamt Region Q._____ korrekt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