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KBE.2025.67 vom 19. März 2026</w:t>
      </w:r>
    </w:p>
    <w:p>
      <w:r>
        <w:t>Ag Zivilgericht, 2026-03-19, DE</w:t>
      </w:r>
    </w:p>
    <w:p>
      <w:r>
        <w:rPr>
          <w:b/>
        </w:rPr>
        <w:t xml:space="preserve">Quelle: </w:t>
      </w:r>
      <w:r>
        <w:t>https://mcp.opencaselaw.ch/entscheid/ag_zivilgericht_KBE.2025.67</w:t>
      </w:r>
    </w:p>
    <w:p>
      <w:r>
        <w:t>FR: AG_ZIVILGERICHT KBE.2025.67 du 19 mars 2026</w:t>
      </w:r>
    </w:p>
    <w:p>
      <w:r>
        <w:t>IT: AG_ZIVILGERICHT KBE.2025.67 del 19 marzo 2026</w:t>
      </w:r>
    </w:p>
    <w:p>
      <w:pPr>
        <w:pStyle w:val="Heading2"/>
      </w:pPr>
      <w:r>
        <w:t>Erwägungen</w:t>
      </w:r>
    </w:p>
    <w:p>
      <w:r>
        <w:rPr>
          <w:b/>
        </w:rPr>
        <w:t>E. 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Der Entscheid einer unteren Aufsichtsbehörde kann innert zehn Tagen nach der Eröffnung an die obere kantonale Aufsichtsbehörde weitergezo- gen werden (Art. 18 Abs. 1 SchKG). Für das Verfahren vor der oberen kantonalen Aufsichtsbehörde über die Betreibungsämter sind im Kanton Aargau die Bestimmungen des Be- schwerdeverfahrens gemäss Art. 319 ff. ZPO sinngemäss anwendbar (Art. 20a Abs. 3 SchKG i.V.m. § 22 Abs. 2 EG SchKG).</w:t>
      </w:r>
    </w:p>
    <w:p>
      <w:r>
        <w:rPr>
          <w:b/>
        </w:rPr>
        <w:t>E. 2.1</w:t>
      </w:r>
    </w:p>
    <w:p>
      <w:r>
        <w:t>Die Vorinstanz führte zur Begründung ihres Entscheides aus, der Gesuch- steller habe vorgebracht, dass er dem Weibel des Betreibungsamts mitge- teilt habe, dass er "nicht einverstanden" sei. Damit bleibe unklar, ob er mit dem Verfahren allgemein, einer konkreten Handlung eines Betreibungsbe- amten bzw. des Weibels oder mit der Forderung selbst nicht einverstanden gewesen sei. Ebenso beinhalte dies keine klare Meinungsäusserung, dass der Gesuchsteller Rechtsvorschlag erheben wolle. Ein Weibel wisse, dass er bei der Überbringung eines Zahlungsbefehls bei Unklarheit nachzufra- gen habe, ob der Schuldner Rechtsvorschlag erheben möchte. Es könne davon ausgegangen werden, dass ein Weibel eines Betreibungsamtes über die Wichtigkeit des Notierens eines Rechtsvorschlags entsprechend geschult würde. Aus der Stellungnahme des Regionalen Betreibungsamts Q._____ ergebe sich, dass vom Weibel explizit nachgefragt worden sei, ob der Beschwerdeführer Rechtsvorschlag erheben wolle, was verneint</w:t>
      </w:r>
    </w:p>
    <w:p>
      <w:r>
        <w:t>- 5 - worden sei. Für den Weibel sei somit klar gewesen, dass der Beschwerde- führer keinen Rechtsvorschlag habe erheben wollen. Ebenfalls werde nicht ausgeführt, aus welchen Gründen der Beschwerdeführer die Frist zur Er- hebung des Rechtsvorschlags versäumt habe. Eine Wiederherstellung der Frist komme unter diesen Umständen nicht in Frage (angefochtener Ent- scheid E. 3.3).</w:t>
      </w:r>
    </w:p>
    <w:p>
      <w:r>
        <w:rPr>
          <w:b/>
        </w:rPr>
        <w:t>E. 2.2</w:t>
      </w:r>
    </w:p>
    <w:p>
      <w:r>
        <w:t>Mit Beschwerde bringt der Beschwerdeführer im Wesentlichen vor, er habe gegenüber dem Weibel des Regionalen Betreibungsamts Q._____ anläss- lich der Zustellung des Zahlungsbefehls sofort mündlich erklärt, dass er die Betreibung nicht akzeptiere. Es bestehe somit ein formell gültiger Rechts- vorschlag. Ein Schuldner habe nur mündlich kundzutun, dass er mit der Betreibung nicht einverstanden sei. Der angefochtene Entscheid ignoriere diesen SchKG-Rechtsgrundsatz. Die Behauptungen des Regionalen Be- treibungsamts Q._____ würden als reine Schutzbehauptungen bestritten.</w:t>
      </w:r>
    </w:p>
    <w:p>
      <w:r>
        <w:rPr>
          <w:b/>
        </w:rPr>
        <w:t>E. 2.3</w:t>
      </w:r>
    </w:p>
    <w:p>
      <w:r>
        <w:t>Das Regionale Betreibungsamt Q._____ führte in seinem Amtsbericht vom</w:t>
      </w:r>
    </w:p>
    <w:p>
      <w:r>
        <w:rPr>
          <w:b/>
        </w:rPr>
        <w:t>E. 4</w:t>
      </w:r>
    </w:p>
    <w:p>
      <w:r>
        <w:t>Dass ein Grund für eine Wiederherstellung der Frist für die Erhebung des Rechtsvorschlags nach Art. 33 Abs. 4 SchKG vorläge, hat der Beschwer- deführer weder vor Vorinstanz noch im obergerichtlichen Beschwerdever- fahren dargelegt. Darauf braucht entsprechend nicht eingegangen zu wer- den.</w:t>
      </w:r>
    </w:p>
    <w:p>
      <w:r>
        <w:rPr>
          <w:b/>
        </w:rPr>
        <w:t>E. 5</w:t>
      </w:r>
    </w:p>
    <w:p>
      <w:r>
        <w:t>Soweit der Beschwerdeführer vor der Schuldbetreibungs- und Konkurs- kommission um Erteilung der provisorischen Rechtsöffnung für eine angeb- liche Gegenforderung verlangt, ist darauf nicht einzutreten, da die betrei- bungsrechtlichen Aufsichtsbehörden für die Beurteilung von Rechtsöff- nungsgesuchen nicht zuständig sind. Im Übrigen wären neue Anträge im Beschwerdeverfahren vor der oberen betreibungsrechtlichen Aufsichtsbe- hörde auch unzulässig (Art. 326 Abs. 1 ZPO i.V.m. § 22 Abs. 2 EG SchKG).</w:t>
      </w:r>
    </w:p>
    <w:p>
      <w:r>
        <w:t>- 7 -</w:t>
      </w:r>
    </w:p>
    <w:p>
      <w:r>
        <w:rPr>
          <w:b/>
        </w:rPr>
        <w:t>E. 6</w:t>
      </w:r>
    </w:p>
    <w:p>
      <w:r>
        <w:t>Die Beschwerde ist nach dem Gesagten abzuweisen, soweit darauf einzu- treten ist.</w:t>
      </w:r>
    </w:p>
    <w:p>
      <w:r>
        <w:rPr>
          <w:b/>
        </w:rPr>
        <w:t>E. 7</w:t>
      </w:r>
    </w:p>
    <w:p>
      <w:r>
        <w:t>Im Beschwerde- bzw. Weiterziehungsverfahren vor der kantonalen Auf- sichtsbehörde sind ungeachtet des Ausgangs keine Verfahrenskosten zu erheben und keine Parteientschädigungen zuzusprechen (Art. 20a Abs. 2 Ziff. 5 SchKG i.V.m. Art. 61 Abs. 2 lit. a und Art. 62 Abs. 2 GebV SchKG). Die Schuldbetreibungs- und Konkurskommission entscheidet: 1. Die Beschwerde wird abgewiesen, soweit darauf eingetreten wird. 2. Es werden keine Verfahrenskosten erhoben und keine Parteientschädigun- gen zugesprochen. Zustellung an: […] Mitzuteilen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w:t>
      </w:r>
    </w:p>
    <w:p>
      <w:r>
        <w:t>- 8 - Aarau, 19. März 2026 Obergericht des Kantons Aargau Schuldbetreibungs- und Konkurskommission Der Präsident: Der Gerichtsschreiber: Holliger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