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KBE.2025.66 vom 25. November 2025</w:t>
      </w:r>
    </w:p>
    <w:p>
      <w:r>
        <w:t>Ag Zivilgericht, 2025-11-25, DE</w:t>
      </w:r>
    </w:p>
    <w:p>
      <w:r>
        <w:rPr>
          <w:b/>
        </w:rPr>
        <w:t xml:space="preserve">Quelle: </w:t>
      </w:r>
      <w:r>
        <w:t>https://mcp.opencaselaw.ch/entscheid/ag_zivilgericht_KBE.2025.66</w:t>
      </w:r>
    </w:p>
    <w:p>
      <w:r>
        <w:t>FR: AG_ZIVILGERICHT KBE.2025.66 du 25 novembre 2025</w:t>
      </w:r>
    </w:p>
    <w:p>
      <w:r>
        <w:t>IT: AG_ZIVILGERICHT KBE.2025.66 del 25 novembre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 Zur Beschwerde legitimiert sind die durch den Entscheid der unteren Aufsichtsbehörde Betroffenen, d.h. wer durch den angefochtenen Entscheid berührt ist und in seinen rechtlich oder tatsächlich geschützten Interessen verletzt wird (GEORG J. WOHL, in: Kurz- kommentar SchKG, 3. Auflage 2025, N. 6 zu Art. 18 SchKG). Die Zwangs- vollstreckungsorgane – insbesondere das Betreibungs- und das Kon- kursamt – sind in der Regel nicht zur Beschwerde legitimiert. Auch im Schuldbetreibungs- und Konkursrecht gilt der Grundsatz, dass eine untere Behörde, deren Verfügung durch eine obere Instanz nicht bestätigt worden ist, ihren Standpunkt nicht auf dem Rechtsmittelweg durchsetzen kann. Nach ständiger Rechtsprechung ist die Konkursverwaltung zur Be- schwerde an die kantonalen Aufsichtsbehörden bzw. das Bundesgericht grundsätzlich dann legitimiert, wenn sie Interessen der Konkursmasse und damit der Gesamtheit der Gläubiger geltend macht. Ferner wird den Zwangsvollstreckungsorganen das Recht zur Weiterziehung zugestanden,</w:t>
      </w:r>
    </w:p>
    <w:p>
      <w:r>
        <w:t>- 4 - um fiskalische bzw. gebührenrechtliche Interessen wahrzunehmen (Art. 2 GebV SchKG), oder wenn ihre eigenen materiellen oder persönlichen Inte- ressen betroffen sind (BGE 119 III 4 E. 1; Urteil des Bundesgerichts 5A_688/2012 vom 29. April 2013, E. 2 m.w.H.; WOHL, a.a.O., N. 20 zu Art. 17 SchKG i.V.m. N. 6 zu Art. 18 SchKG). Abgesehen von diesen Aus- nahmen ist ein Vollstreckungsorgan, das eine andere Rechtsauffassung als die untere kantonale Aufsichtsbehörde vertritt, nicht zur Beschwerde an die obere kantonale Aufsichtsbehörde legitimiert (WOHL, a.a.O., N. 6 zu Art. 18 SchKG).</w:t>
      </w:r>
    </w:p>
    <w:p>
      <w:r>
        <w:rPr>
          <w:b/>
        </w:rPr>
        <w:t>E. 1.2</w:t>
      </w:r>
    </w:p>
    <w:p>
      <w:r>
        <w:t>Aus der Begründung der vorliegenden Beschwerde ergibt sich, dass das Regionale Betreibungsamt Q._____ mit der Beschwerdeerhebung weder fiskalische noch gebührenrechtliche Interessen wahrnimmt. Vielmehr geht es ihm einzig um die von ihm abweichend zur Vorinstanz vorgenommenen Berechnungen der Existenzminima in den Pfändungsgruppen Nr. bbb und Nr. aaa. Das Regionale Betreibungsamt Q._____ ist daher als Behörde nicht zur Beschwerde legitimiert. Dass der Betreibungsbeamte ein eigenes rechtlich geschütztes Interesse hätte, wird von ihm weder dargetan noch ist ein solches ersichtlich. Auf die Beschwerde ist demnach nicht einzutreten.</w:t>
      </w:r>
    </w:p>
    <w:p>
      <w:r>
        <w:rPr>
          <w:b/>
        </w:rPr>
        <w:t>E. 2</w:t>
      </w:r>
    </w:p>
    <w:p>
      <w:r>
        <w:t>Es werden keine Verfahrenskosten erhoben und keine Parteientschädigun- gen zugesprochen. Zustellung an: […]</w:t>
      </w:r>
    </w:p>
    <w:p>
      <w:r>
        <w:t>- 5 -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25. November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