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KBE.2025.54 vom 25. September 2025</w:t>
      </w:r>
    </w:p>
    <w:p>
      <w:r>
        <w:t>Ag Zivilgericht, 2025-09-25, DE</w:t>
      </w:r>
    </w:p>
    <w:p>
      <w:r>
        <w:rPr>
          <w:b/>
        </w:rPr>
        <w:t xml:space="preserve">Quelle: </w:t>
      </w:r>
      <w:r>
        <w:t>https://mcp.opencaselaw.ch/entscheid/ag_zivilgericht_KBE.2025.54</w:t>
      </w:r>
    </w:p>
    <w:p>
      <w:r>
        <w:t>FR: AG_ZIVILGERICHT KBE.2025.54 du 25 septembre 2025</w:t>
      </w:r>
    </w:p>
    <w:p>
      <w:r>
        <w:t>IT: AG_ZIVILGERICHT KBE.2025.54 del 25 settembre 2025</w:t>
      </w:r>
    </w:p>
    <w:p>
      <w:pPr>
        <w:pStyle w:val="Heading2"/>
      </w:pPr>
      <w:r>
        <w:t>Erwägungen</w:t>
      </w:r>
    </w:p>
    <w:p>
      <w:r>
        <w:rPr>
          <w:b/>
        </w:rPr>
        <w:t>E. 1</w:t>
      </w:r>
    </w:p>
    <w:p>
      <w:r>
        <w:t>In der Betreibung gegen A._____ und B._____ (fortan: Beschwerdeführer) führt das Regionale Betreibungsamt Q._____ eine Einkommenspfändung durch.</w:t>
      </w:r>
    </w:p>
    <w:p>
      <w:r>
        <w:rPr>
          <w:b/>
        </w:rPr>
        <w:t>E. 2</w:t>
      </w:r>
    </w:p>
    <w:p>
      <w:r>
        <w:t>Das Betreibungsamt Q._____ sei zu verpflichten, die durch die Kläger be- reits bezahlten Rechnungen für Miete und Fahrzeug sowie die im Rahmen des Umzugs bzw. durch Therapie angefallenen und nachgewiesenen Auf- wendungen umgehend auszugleichen, soweit dies noch nicht geschehen ist;</w:t>
      </w:r>
    </w:p>
    <w:p>
      <w:r>
        <w:rPr>
          <w:b/>
        </w:rPr>
        <w:t>E. 2.1</w:t>
      </w:r>
    </w:p>
    <w:p>
      <w:r>
        <w:t>Die Beschwerdeführer erhoben mit Eingabe vom 23. Juni 2025 beim Prä- sidium des Zivilgerichts des Bezirksgerichts Kulm als untere betreibungs- rechtliche Aufsichtsbehörde Beschwerde und beantragten: " 1. Das am 19. Juni 2025 verfügte betreibungsrechtliche Existenzminimum der Beschwerdeführer bzw. der gesamten Familie sei in Anlehnung an die vom Betreibungsamt R._____ vorgenommenen Berechnung neu auf CHF 7'357.70 festzulegen;</w:t>
      </w:r>
    </w:p>
    <w:p>
      <w:r>
        <w:rPr>
          <w:b/>
        </w:rPr>
        <w:t>E. 2.2</w:t>
      </w:r>
    </w:p>
    <w:p>
      <w:r>
        <w:t>Mit Verfügung vom 24. Juni 2025 wies der Präsident des Zivilgerichts des Bezirksgerichts Kulm die Begehren auf Erlass superprovisorischer Mass- nahmen ab, setzte dem Regionalen Betreibungsamt Q._____ eine Frist von</w:t>
      </w:r>
    </w:p>
    <w:p>
      <w:r>
        <w:rPr>
          <w:b/>
        </w:rPr>
        <w:t>E. 2.3</w:t>
      </w:r>
    </w:p>
    <w:p>
      <w:r>
        <w:t>Das Regionale Betreibungsamt Q._____ reichte am 3. Juli 2025 den Amts- bericht ein und beantragte die Abweisung der Beschwerde.</w:t>
      </w:r>
    </w:p>
    <w:p>
      <w:r>
        <w:rPr>
          <w:b/>
        </w:rPr>
        <w:t>E. 2.4</w:t>
      </w:r>
    </w:p>
    <w:p>
      <w:r>
        <w:t>Die Beschwerdeführer reichten am 9. Juli 2025 sowie am 17. Juli 2025 ver- schiedene Unterlagen ein.</w:t>
      </w:r>
    </w:p>
    <w:p>
      <w:r>
        <w:rPr>
          <w:b/>
        </w:rPr>
        <w:t>E. 2.5</w:t>
      </w:r>
    </w:p>
    <w:p>
      <w:r>
        <w:t>Der Präsident des Zivilgerichts des Bezirksgerichts Kulm (fortan: Vo- rinstanz) wies die Beschwerde mit Entscheid vom 12. August 2025 ab. 3.</w:t>
      </w:r>
    </w:p>
    <w:p>
      <w:r>
        <w:rPr>
          <w:b/>
        </w:rPr>
        <w:t>E. 3</w:t>
      </w:r>
    </w:p>
    <w:p>
      <w:r>
        <w:t>Beim betreibungsrechtlichen Existenzminimum seien die Krankenkassen- prämien netto nach Anrechnung der Prämienverbilligungen zu berück- sichtigen;</w:t>
      </w:r>
    </w:p>
    <w:p>
      <w:r>
        <w:rPr>
          <w:b/>
        </w:rPr>
        <w:t>E. 3.1</w:t>
      </w:r>
    </w:p>
    <w:p>
      <w:r>
        <w:t>Die Beschwerdeführer rügen zunächst eine Verletzung des rechtlichen Ge- hörs. Die Vorinstanz habe ihnen weder die Stellungnahme des Regionalen Betreibungsamts Q._____ noch deren Belege zukommen lassen (Be- schwerde S. 7 und 12 f.).</w:t>
      </w:r>
    </w:p>
    <w:p>
      <w:r>
        <w:rPr>
          <w:b/>
        </w:rPr>
        <w:t>E. 3.2</w:t>
      </w:r>
    </w:p>
    <w:p>
      <w:r>
        <w:t>Für das Beschwerdeverfahren vor der unteren kantonalen Aufsichtsbe- hörde über die Betreibungsämter sind die Bestimmungen des summari- schen Verfahrens gemäss Art. 248 ff. ZPO anwendbar (§ 22 Abs. 2 EG SchKG). Auch im summarischen Verfahren, und somit im Verfahren vor der unteren kantonalen Aufsichtsbehörde über die Betreibungsämter, ist das unbedingte Replikrecht nach Art. 29 Abs. 2 BV und Art. 6 Ziff. 1 EMRK zu beachten. Die Parteien haben mithin Anspruch, von sämtlichen Eingaben der Gegenpartei und der Vorinstanz Kenntnis zu nehmen und sich dazu zu äussern (BGE 151 III 227 E. 4.1; § 22 Abs. 2 EG SchKG i.V.m. Art. 53 Abs. 3 ZPO).</w:t>
      </w:r>
    </w:p>
    <w:p>
      <w:r>
        <w:rPr>
          <w:b/>
        </w:rPr>
        <w:t>E. 3.3</w:t>
      </w:r>
    </w:p>
    <w:p>
      <w:r>
        <w:t>Ausweislich der Akten reichte das Regionale Betreibungsamt Q._____ vor Vorinstanz am 3. Juli 2025 einen ausführlichen Amtsbericht sowie</w:t>
      </w:r>
    </w:p>
    <w:p>
      <w:r>
        <w:t>- 6 -</w:t>
      </w:r>
    </w:p>
    <w:p>
      <w:r>
        <w:rPr>
          <w:b/>
        </w:rPr>
        <w:t>E. 3.4</w:t>
      </w:r>
    </w:p>
    <w:p>
      <w:r>
        <w:t>Der Gehörsanspruch ist formeller Natur, d.h. eine Verletzung dieser Ver- fahrensgarantie führt grundsätzlich ungeachtet der Erfolgsaussichten in der Sache selbst zur Aufhebung des angefochtenen Entscheids (BGE 151 III 227 E. 4.7). Vorliegend besteht kein Anlass, von diesem Grundsatz abzuweichen, käme den Beschwerdeführern durch eine Heilung der Gehörsverletzung erst im Beschwerdeverfahren vor der oberen Aufsichtsbehörde eine Instanz ab- handen, was angesichts der Schwere der Gehörsverletzung nicht angeht. In teilweiser Gutheissung der Beschwerde ist demnach der vorinstanzliche Entscheid aufzuheben und die Sache an die Vorinstanz zur neuen Ent- scheidung unter Wahrung des rechtlichen Gehörs zurückzuweisen. Im Üb- rigen ist die Beschwerde abzuweisen. 4. Im Beschwerde- bzw. Weiterziehungsverfahren vor der kantonalen Auf- sichtsbehörde sind ungeachtet des Ausgangs keine Verfahrenskosten zu erheben und keine Parteientschädigungen zuzusprechen (Art. 20a Abs. 2 Ziff. 5 SchKG i.V.m. Art. 61 Abs. 2 lit. a und Art. 62 Abs. 2 GebV SchKG). Die Schuldbetreibungs- und Konkurskommission entscheidet: 1. In teilweiser Gutheissung der Beschwerde wird der Entscheid des Präsi- denten des Zivilgerichts des Bezirksgerichts Kulm vom 12. August 2025 aufgehoben und die Sache im Sinne der Erwägungen an diesen zurückge- wiesen. Im Übrigen wird die Beschwerde abgewiesen.</w:t>
      </w:r>
    </w:p>
    <w:p>
      <w:r>
        <w:t>- 7 - 2. Es werden keine Verfahrenskosten erhoben und keine Parteientschädigun- gen zugesprochen. Zustellung an: […] Rechtsmittelbelehrung für die Beschwerde in Zivilsachen (Art. 72 ff., Art. 90 ff. BGG) Gegen diesen Zwischenentscheid kann innert 10 Tagen, von der schriftlichen Eröffnung des Entscheides an gerechnet, die Beschwerde an das Schweizerische Bundesgericht er- hoben werden, wenn er einen nicht wieder gutzumachenden Nachteil bewirken kann oder wenn die Gutheissung der Beschwerde sofort einen Endentscheid herbeiführen und damit einen bedeutenden Aufwand an Zeit oder Kosten für ein weitläufiges Beweisverfahren er- sparen würde (Art. 44 Abs. 1, Art. 72, Art. 74, Art. 90, Art. 93,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 Aarau, 25. September 2025 Obergericht des Kantons Aargau Schuldbetreibungs- und Konkurskommission Der Präsident: Der Gerichtsschreiber: Holliger Stutz</w:t>
      </w:r>
    </w:p>
    <w:p>
      <w:r>
        <w:rPr>
          <w:b/>
        </w:rPr>
        <w:t>E. 4</w:t>
      </w:r>
    </w:p>
    <w:p>
      <w:r>
        <w:t>Die am 17. Juni 2025 verfügte Mietzinsreduktion sei aufzuheben, und es sei der aktuelle Mietzins von CHF 2'350.- für die fünfköpfige Familie im betreibungsrechtlichen Existenzminimum über den 1. Oktober 2025 hin- aus zu berücksichtigen;</w:t>
      </w:r>
    </w:p>
    <w:p>
      <w:r>
        <w:rPr>
          <w:b/>
        </w:rPr>
        <w:t>E. 5</w:t>
      </w:r>
    </w:p>
    <w:p>
      <w:r>
        <w:t>Das Betreibungsamt Q._____ sei zu verpflichten, den Beschwerdeführern eine Übersicht über die aktuell laufenden Pfändungen und die aktuellen Forderungsausstände zukommen zu lassen;</w:t>
      </w:r>
    </w:p>
    <w:p>
      <w:r>
        <w:rPr>
          <w:b/>
        </w:rPr>
        <w:t>E. 6</w:t>
      </w:r>
    </w:p>
    <w:p>
      <w:r>
        <w:t>Die Ziffern 1 und 2 des Rechtsbegehrens seien superprovisorisch zu ver- fügen; unter Kosten- und Entschädigungsfolge zuzüglich gesetzliche Mehrwert- steuer."</w:t>
      </w:r>
    </w:p>
    <w:p>
      <w:r>
        <w:t>- 3 -</w:t>
      </w:r>
    </w:p>
    <w:p>
      <w:r>
        <w:rPr>
          <w:b/>
        </w:rPr>
        <w:t>E. 10</w:t>
      </w:r>
    </w:p>
    <w:p>
      <w:r>
        <w:t>Tagen zur Erstattung eines Amtsberichts und den Beschwerdeführern eine Frist von 10 Tagen zur Einreichung des Mietvertrags über die zurzeit bewohnte Liegenschaft mit dem Eigentümer der Liegenschaft.</w:t>
      </w:r>
    </w:p>
    <w:p>
      <w:r>
        <w:rPr>
          <w:b/>
        </w:rPr>
        <w:t>E. 15</w:t>
      </w:r>
    </w:p>
    <w:p>
      <w:r>
        <w:t>Beilagen ein. Die Vorinstanz stützt sich in ihrem Entscheid zur Erstel- lung des Sachverhalts unter anderem auf den Amtsbericht bzw. insbeson- dere dessen Beilagen (vgl. E. 5.3.1, 5.3.2, 5.3.3, 5.3.4, 6 des vorinstanzli- chen Entscheids). Den Akten kann indessen keine Verfügung entnommen werden, mit welcher der Amtsbericht vom 3. Juli 2025 samt Beilagen den Beschwerdeführern zugestellt worden wäre. Ebenso wenig ergibt sich eine Zustellung des Amtsberichts aus dem Entscheid selbst. Im Sinne der Aus- führungen der Beschwerdeführer ist vielmehr davon auszugehen, dass diese den Amtsbericht nicht zugestellt erhalten haben. Die Beschwerdefüh- rer hatten somit keine Möglichkeit, sich vor Fällung des angefochtenen Ent- scheids zu den Ausführungen des Regionalen Betreibungsamts Q._____ bzw. zu den von diesem eingereichten Unterlagen zu äussern – obschon diese offenbar für die Vorinstanz zur Sachverhaltserstellung massgeblich waren. Das unbedingte Replikrecht und damit das rechtliche Gehör der Be- schwerdeführer wurde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