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KBE.2025.31 vom 26. Januar 2026</w:t>
      </w:r>
    </w:p>
    <w:p>
      <w:r>
        <w:t>Ag Zivilgericht, 2026-01-26, DE</w:t>
      </w:r>
    </w:p>
    <w:p>
      <w:r>
        <w:rPr>
          <w:b/>
        </w:rPr>
        <w:t xml:space="preserve">Quelle: </w:t>
      </w:r>
      <w:r>
        <w:t>https://mcp.opencaselaw.ch/entscheid/ag_zivilgericht_KBE.2025.31</w:t>
      </w:r>
    </w:p>
    <w:p>
      <w:r>
        <w:t>FR: AG_ZIVILGERICHT KBE.2025.31 du 26 janvier 2026</w:t>
      </w:r>
    </w:p>
    <w:p>
      <w:r>
        <w:t>IT: AG_ZIVILGERICHT KBE.2025.31 del 26 gennaio 2026</w:t>
      </w:r>
    </w:p>
    <w:p>
      <w:pPr>
        <w:pStyle w:val="Heading2"/>
      </w:pPr>
      <w:r>
        <w:t>Erwägungen</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Für das Verfahren vor der oberen kantonalen Aufsichtsbehörde über die Betreibungsämter sind die Bestimmungen des Beschwerdeverfahrens ge- mäss Art. 319 ff. ZPO sinngemäss anwendbar (Art. 20a Abs. 3 SchKG i.V.m. § 22 Abs. 2 EG SchKG).</w:t>
      </w:r>
    </w:p>
    <w:p>
      <w:r>
        <w:rPr>
          <w:b/>
        </w:rPr>
        <w:t>E. 1.2</w:t>
      </w:r>
    </w:p>
    <w:p>
      <w:r>
        <w:t>Die Frage, inwiefern im kantonalen Beschwerdeverfahren Noven zulässig sind, entscheidet sich grundsätzlich nach kantonalem Verfahrensrecht (Art. 20a Abs. 3 SchKG; Urteil des Bundesgerichts 5A_15/2016 vom 14. April 2016 E. 2.4). Für das Verfahren vor der oberen kantonalen</w:t>
      </w:r>
    </w:p>
    <w:p>
      <w:r>
        <w:t>- 5 - Aufsichtsbehörde über die Betreibungsämter sind im Kanton Aargau somit die Bestimmungen des Beschwerdeverfahrens gemäss Art. 319 ff. ZPO sinngemäss anwendbar (Art. 20a Abs. 3 SchKG i.V.m. § 22 Abs. 2 EG SchKG; vgl. E. 1.1 oben). Neue Anträge, neue Tatsachenbehauptungen und neue Beweismittel sind danach im Beschwerdeverfahren ausgeschlos- sen (Art. 326 Abs. 1 ZPO). Das gilt sowohl für echte als auch für unechte Noven, da die Beschwerde gemäss Art. 18 Abs. 1 SchKG nicht der Fort- führung des Verfahrens vor der unteren Aufsichtsbehörde, sondern der Überprüfung des Entscheids der unteren Aufsichtsbehörde auf seine Rechtmässigkeit oder Angemessenheit dient (vgl. DIETER FREIBURG- HAUS/SUSANNE AFHELDT, in: Thomas Sutter-Somm/Franz Hasenböh- ler/Christoph Leuenberger [Hrsg.], Kommentar zur Schweizerischen Zivil- prozessordnung, 4. Aufl. 2025, N. 3 f. zu Art. 326 ZPO; FLAVIO CO- METTA/URS MÖCKLI, in: Daniel Staehelin/Thomas Bauer/Franco Lorandi, Basler Kommentar, Bundesgesetz über Schuldbetreibung und Konkurs,</w:t>
      </w:r>
    </w:p>
    <w:p>
      <w:r>
        <w:rPr>
          <w:b/>
        </w:rPr>
        <w:t>E. 3</w:t>
      </w:r>
    </w:p>
    <w:p>
      <w:r>
        <w:t>Der Beschwerdeführer bringt mit seiner bei der Schuldbetreibungs- und Konkurskommission erhobenen Beschwerde vom 28. Mai 2025 erstmalig vor, das Verhalten des Betreibungsamtes Q._____, das Fortsetzungsbe- gehren unter Verweis auf einen angeblich noch bestehenden Rechtsvor- schlag zurückzuweisen, verletze sein verfassungsmässiges Recht auf rechtliches Gehör und die Durchsetzung berechtigter Ansprüche. Es werde hier auf einer Formalität beharrt, obwohl materiell alle Voraussetzungen er- füllt seien (Beschwerde Rz. 4). Hierauf ist aufgrund des absoluten Noven- verbots im Beschwerdeverfahren (vgl. E. 1.2 oben) nicht einzugehen.</w:t>
      </w:r>
    </w:p>
    <w:p>
      <w:r>
        <w:rPr>
          <w:b/>
        </w:rPr>
        <w:t>E. 4.1</w:t>
      </w:r>
    </w:p>
    <w:p>
      <w:r>
        <w:t>Der Rechtsvorschlag bewirkt die Einstellung einer Betreibung (Art. 78 Abs. 1 SchKG). Gemäss Art. 88 Abs. 1 SchKG kann das Fortsetzungsbe- gehren gestellt werden, wenn der Rechtsvorschlag beseitigt wurde. Ein Gläubiger, gegen dessen Betreibung Rechtsvorschlag erhoben wurde, kann die Beseitigung des Rechtsvorschlags entweder im ordentlichen Zivil- bzw. Verwaltungsverfahren i.S.v. Art. 79 SchKG, oder alternativ im Rah- men eines Rechtsöffnungsverfahrens i.S.v. Art. 80 ff. SchKG, geltend ma- chen. Ungeachtet eines gerichtlichen Verfahrens steht es dem Schuldner zudem jederzeit frei, den Rechtsvorschlag zurückzuziehen.</w:t>
      </w:r>
    </w:p>
    <w:p>
      <w:r>
        <w:rPr>
          <w:b/>
        </w:rPr>
        <w:t>E. 4.2</w:t>
      </w:r>
    </w:p>
    <w:p>
      <w:r>
        <w:t>Es ist unbestritten, dass der Rechtsvorschlag vom 29. August 2023 in der Betreibung Nr. aaa (Zahlungsbefehl vom 3. August 2023) des Betrei-</w:t>
      </w:r>
    </w:p>
    <w:p>
      <w:r>
        <w:t>- 8 - bungsamts Q._____ weder durch ein ordentliches Zivil- bzw. Verwaltungs- verfahren i.S.v. Art. 79 SchKG noch im Rechtsöffnungsverfahren i.S.v. Art. 80 SchKG beseitigt worden ist. Der Beschwerdeführer bringt jedoch vor, dass die Vereinbarung vom 17. Oktober 2024 eine Schuldanerkennung sei, durch welche der Rechtsvorschlag faktisch beseitigt worden sei. Eine Schuldanerkennung berechtigt zwar nach Art. 82 Abs. 1 SchKG beim Ge- richt Rechtsöffnung zu verlangen, beseitigt aber den Rechtsvorschlag nicht automatisch. Sodann wurde, wie die Vorinstanz bereits festgehalten hat, in der Vereinbarung vom 17. Oktober 2024 gerade nicht vereinbart, dass der Rechtsvorschlag zurückgezogen werde, sondern, dass der Beschwerde- führer die Betreibung nach Bezahlung des vereinbarten Betrages zurück- zieht. Da der Rechtsvorschlag nicht beseitigt wurde, hat das Betreibungs- amt Q._____ das Fortsetzungsbegehren richtigerweise zurückgewiesen. Die Beschwerde ist folglich abzuweisen. Dem Beschwerdeführer steht es sodann frei, gestützt auf die Vereinbarung vom 17. Oktober 2024 eine neue Betreibung einzuleiten und im Falle eines Rechtsvorschlags Rechtsöffnung zu verlangen.</w:t>
      </w:r>
    </w:p>
    <w:p>
      <w:r>
        <w:rPr>
          <w:b/>
        </w:rPr>
        <w:t>E. 4.3</w:t>
      </w:r>
    </w:p>
    <w:p>
      <w:r>
        <w:t>Der Beschwerdeführer macht weiter Rechtsmissbrauch geltend, da sich C._____, ehemaliger Geschäftsführer der Schuldnerin, nicht an die Verein- barung gehalten habe. Vorliegend ist einzig zu prüfen, ob die Verfügung des Betreibungsamts Q._____ vom 14. Januar 2025 betreffend Abweisung des Fortsetzungsbe- gehrens sowie der darauffolgende Entscheid BE.2025.1 des Bezirksge- richts Baden vom 19. Mai 2025 ihre Richtigkeit haben. Ein allfälliges rechts- missbräuchliches Verhalten nach Abschluss der Vereinbarung vom 17. Ok- tober 2024 ändert nichts an der Tatsache, dass der Rechtsvorschlag in der Betreibung Nr. aaa nicht beseitigt wurde, und ist daher nicht Verfahrensge- genstand. Entsprechend ist darauf nicht weiter einzugehen.</w:t>
      </w:r>
    </w:p>
    <w:p>
      <w:r>
        <w:rPr>
          <w:b/>
        </w:rPr>
        <w:t>E. 4.4</w:t>
      </w:r>
    </w:p>
    <w:p>
      <w:r>
        <w:t>Ebenfalls nicht Gegenstand des vorliegenden Verfahrens ist die Frage, ob die Wiedereintragung der gelöschten Forderung zu veranlassen oder ob subsidiär der Geschäftsführer C._____ als solidarisch haftend herangezo- gen werden könne. Überdies hat die Vorinstanz richtigerweise festgehal- ten, dass das Bundesgericht in seiner neuen Rechtsprechung davon aus- gehe, dass Forderungen gegen eine Gesellschaft auch nach deren Lö- schung aus dem Handelsregister weiterhin auf den Namen der Gesell- schaft bestehen. Demnach habe die Löschung der Schuldnerin keinen Ein- fluss auf den Bestand der gegen dieselbe vorhandene Forderung (ange- fochtener Entscheid E. 4.4). Eine Wiedereintragung ist folglich in jedem Fall nicht notwendig.</w:t>
      </w:r>
    </w:p>
    <w:p>
      <w:r>
        <w:t>- 9 -</w:t>
      </w:r>
    </w:p>
    <w:p>
      <w:r>
        <w:rPr>
          <w:b/>
        </w:rPr>
        <w:t>E. 5</w:t>
      </w:r>
    </w:p>
    <w:p>
      <w:r>
        <w:t>Im Beschwerde- bzw. Weiterziehungsverfahren vor der oberen kantonalen Aufsichtsbehörde (Art. 18 SchKG) sind ungeachtet des Ausgangs keine Verfahrenskosten zu erheben und keine Parteientschädigungen zuzuspre- chen (Art. 20a Abs. 2 Ziff. 5 SchKG i.V.m. Art. 61 Abs. 2 lit. a und Art. 62 Abs. 2 GebV SchKG). Die Schuldbetreibungs- und Konkurskommission entscheidet: 1. Die Beschwerde wird abgewiesen, soweit darauf einzutreten ist. 2. Es werden keine Verfahrenskosten erhoben und keine Parteientschädigun- gen zugesprochen. Zustellung an: […] Mitzuteilen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- 10 - Aarau, 26. Januar 2026 Obergericht des Kantons Aargau Schuldbetreibungs- und Konkurskommission Der Präsident: Die Gerichtsschreiberin: Holliger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