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KBE.2024.8 vom 9. Juli 2024</w:t>
      </w:r>
    </w:p>
    <w:p>
      <w:r>
        <w:t>Ag Zivilgericht, 2024-07-09, DE</w:t>
      </w:r>
    </w:p>
    <w:p>
      <w:r>
        <w:rPr>
          <w:b/>
        </w:rPr>
        <w:t xml:space="preserve">Quelle: </w:t>
      </w:r>
      <w:r>
        <w:t>https://mcp.opencaselaw.ch/entscheid/ag_zivilgericht_KBE.2024.8</w:t>
      </w:r>
    </w:p>
    <w:p>
      <w:r>
        <w:t>FR: AG_ZIVILGERICHT KBE.2024.8 du 9 juillet 2024</w:t>
      </w:r>
    </w:p>
    <w:p>
      <w:r>
        <w:t>IT: AG_ZIVILGERICHT KBE.2024.8 del 9 luglio 2024</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2.1</w:t>
      </w:r>
    </w:p>
    <w:p>
      <w:r>
        <w:t>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die Be-</w:t>
      </w:r>
    </w:p>
    <w:p>
      <w:r>
        <w:t>- 5 - stimmungen des Beschwerdeverfahrens gemäss Art. 319 ff. ZPO sinnge- mäss anwendbar (Art. 20a Abs. 3 SchKG i.V.m. § 22 Abs. 2 EG SchKG). Neue Anträge, neue Tatsachenbehauptungen und neue Beweismittel sind danach im Beschwerdeverfahren vor der oberen betreibungsrechtlichen Aufsichtsbehörde ausgeschlossen (vgl. Art. 326 Abs. 1 ZPO). Anfechtungsobjekt des zweitinstanzlichen Beschwerdeverfahrens ist der Entscheid einer unteren Aufsichtsbehörde (vgl. FRANCO LORANDI, Betrei- bungsrechtliche Beschwerde und Nichtigkeit, 2000, N. 5 ff. zu Art. 18 SchKG). Der Streitgegenstand des zweitinstanzlichen Beschwerdeverfah- rens kann vom Beschwerdeführer somit nicht frei bestimmt werden, son- dern wird durch den angefochtenen Entscheid der unteren Aufsichtsbe- hörde verbindlich festgelegt. Gegenstände, über welche die untere Auf- sichtsbehörde nicht entschieden hat, hat die obere Aufsichtsbehörde nicht beurteilen, da sonst in die funktionelle Zuständigkeit der unteren Aufsichts- behörde eingegriffen würde.</w:t>
      </w:r>
    </w:p>
    <w:p>
      <w:r>
        <w:rPr>
          <w:b/>
        </w:rPr>
        <w:t>E. 2.2</w:t>
      </w:r>
    </w:p>
    <w:p>
      <w:r>
        <w:t>Die bei der Vorinstanz erhobene Beschwerde des Beschwerdeführers vom</w:t>
      </w:r>
    </w:p>
    <w:p>
      <w:r>
        <w:rPr>
          <w:b/>
        </w:rPr>
        <w:t>E. 7</w:t>
      </w:r>
    </w:p>
    <w:p>
      <w:r>
        <w:t>August 2023 bzw. 27. Oktober 2023 bezog sich, soweit aufgrund der teil- weisen verwirrlichen Ausführungen überhaupt nachvollziehbar, auf die Be- treibungen Nr. xxx und yyy des Betreibungsamts Q._____. Der Beschwer- deführer machte geltend, die Pfändungen in beiden Betreibungen seien rechtswidrig (vorinstanzliche Akten [VA] act. 9). Konkret brachte er vor, die Pfändung in der Betreibung Nr. xxx sei mangels Vorliegens eines rechts- kräftigen Zahlungsbefehls nichtig (VA act. 10). Im Übrigen richteten sich die Vorbringen in der vorinstanzlichen Beschwerde gegen den Bestand der in Betreibung gesetzten Forderungsbeträge (VA act. 11 ff.). Mit angefochte- nem Entscheid trat die Vorinstanz auf diese Beschwerde nicht ein (Dispo- sitiv-Ziffer 1 des angefochtenen Entscheids). Gegenstand des angefochtenen Entscheids ist nach Gesagtem einzig das vorinstanzliche Nichteintreten auf die vom Beschwerdeführer am 7. August 2023 bzw. 27. Oktober 2023 bei der unteren betreibungsrechtlichen Auf- sichtsbehörde erhobene Beschwerde. Mit seiner Beschwerde an die Schuldbetreibungs- und Konkurskommission beantragt der Beschwerde- führer erstmals, dass die Anzeige der Pfändung von Vermögenswerten in der Betreibung Nr. yyy vom 8. September 2023 als amtlicher Hoheitsakt mit negativer Aussenwirkung "anzuerkennen" sei (Beschwerdeantrag 1). Auch die restlichen mit zweitinstanzlicher Beschwerde gestellten Anträge, mit de- nen die Rückzahlung vom Beschwerdeführer bereits geleisteter Kosten und Gebühren in der Betreibung Nr. yyy des Betreibungsamts Q._____ verlangt werden (Beschwerdeanträge 2 und 3), sind neu. Entsprechend ist auf die vor der Schuldbetreibungs- und Konkurskommission erhobene Be- schwerde insoweit nicht einzutreten, nachdem sämtliche gestellten Anträge nicht bereits vor Vorinstanz, sondern erstmals mit zweitinstanzlicher</w:t>
      </w:r>
    </w:p>
    <w:p>
      <w:r>
        <w:t>- 6 - Beschwerde gestellt wurden und gestützt auf Art. 326 Abs. 1 ZPO somit unzulässig sind. 3. Soweit der Beschwerdeführer mit seiner zweitinstanzlichen Beschwerde über seine ausdrücklich gestellten Anträge hinaus sinngemäss die Aufhe- bung des angefochtenen Entscheids beantragt, ist Folgendes anzumerken: 3.1. Zur Beschwerdeführung gemäss Art. 17 SchKG ist legitimiert, wer durch die angefochtene Verfügung eines Vollstreckungsorganes in seinen recht- lich geschützten oder zumindest tatsächlichen Interessen betroffen und dadurch beschwert ist und deshalb ein schutzwürdiges Interesse an der Aufhebung oder Abänderung der Verfügung hat (BGE 129 III 595 E. 3; FLA- VIO COMETTA/URS MÖCKLI, in: Basler Kommentar, Bundesgesetz über Schuldbetreibung und Konkurs, 3. Aufl. 2021, N. 40 zu Art. 17 SchKG). Ein schutzwürdiges Interesse ist zu bejahen, wenn die rechtliche oder tatsäch- liche Stellung des Beschwerdeführers durch den Ausgang des Beschwer- deverfahrens unmittelbar beeinflusst werden kann. Die Beschwerde muss mithin einem praktischen Zweck der Vollstreckung dienen. Die Korrektur im Sinne eines Zurückkommens auf die angefochtene Handlung muss noch möglich sein. Dies setzt grundsätzlich voraus, dass das fragliche Zwangs- vollstreckungsverfahren noch im Gange ist (Urteil des Bundesgerichts 5A_641/2017 vom 19. September 2017 E. 2). Fehlt es bereits bei der Er- hebung der Beschwerde an einem Rechtsschutzinteresse, ist auf die Be- schwerde mangels einer Prozessvoraussetzung nicht einzutreten (KURT AMONN/FRIDOLIN WALTHER, Grundriss des Schuldbetreibungs- und Kon- kursrechts, 9. Aufl. 2013, § 6 Rz. 24). 3.2. Der Beschwerdeführer hatte die mit Betreibungen Nr. xxx und yyy des Be- treibungsamts Q._____ in Betreibung gesetzten Forderungsbeträge unbe- strittenermassen bereits vor Erhebung seiner Beschwerde an die Vor- instanz samt Zinsen und Kosten bezahlt (VA act. 13; Beilage 11 zum Amts- bericht des Betreibungsamts Q._____ vom 15. Januar 2024). Damit waren die Betreibungen bereits vor der Beschwerdeerhebung erloschen und die fraglichen Betreibungsverfahren waren anlässlich der Beschwerdeerhe- bung nicht mehr im Gange. Folglich kam dem Beschwerdeführer kein schutzwürdiges Interesse an der Erhebung seiner Beschwerde zu. Die Vor- instanz ist somit zu Recht auf die Beschwerde nicht eingetreten. Sofern der Beschwerdeführer mit seiner zweitinstanzlichen Beschwerde die Aufhe- bung des angefochtenen Entscheids verlangt, ist diese somit abzuweisen. 4. Im Beschwerde- bzw. Weiterziehungsverfahren vor der oberen kantonalen Aufsichtsbehörde (Art. 18 SchKG) sind ungeachtet des Ausgangs keine</w:t>
      </w:r>
    </w:p>
    <w:p>
      <w:r>
        <w:t>- 7 -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