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KBE.2024.40 vom 10. Juni 2025</w:t>
      </w:r>
    </w:p>
    <w:p>
      <w:r>
        <w:t>Ag Zivilgericht, 2025-06-10, DE</w:t>
      </w:r>
    </w:p>
    <w:p>
      <w:r>
        <w:rPr>
          <w:b/>
        </w:rPr>
        <w:t xml:space="preserve">Quelle: </w:t>
      </w:r>
      <w:r>
        <w:t>https://mcp.opencaselaw.ch/entscheid/ag_zivilgericht_KBE.2024.40</w:t>
      </w:r>
    </w:p>
    <w:p>
      <w:r>
        <w:t>FR: AG_ZIVILGERICHT KBE.2024.40 du 10 juin 2025</w:t>
      </w:r>
    </w:p>
    <w:p>
      <w:r>
        <w:t>IT: AG_ZIVILGERICHT KBE.2024.40 del 10 giugno 2025</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1.1</w:t>
      </w:r>
    </w:p>
    <w:p>
      <w:r>
        <w:t>Die Beschwerde wird gutheissen und der Entscheid des Bezirksgerichts Lenzburg vom 11. Oktober 2024 aufgehoben.</w:t>
      </w:r>
    </w:p>
    <w:p>
      <w:r>
        <w:rPr>
          <w:b/>
        </w:rPr>
        <w:t>E. 1.2</w:t>
      </w:r>
    </w:p>
    <w:p>
      <w:r>
        <w:t>Die Sache wird zur materiellen Beurteilung ans Bezirksgericht Lenzburg zurückgewiesen. 2. Es werden keine Verfahrenskosten erhoben und keine Parteientschädigun- gen zugesprochen. Zustellung an: […] Mitzuteilen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- 7 -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10. Juni 2025 Obergericht des Kantons Aargau Schuldbetreibungs- und Konkurskommission als obere betreibungsrechtli- che Aufsichtsbehörde Der Präsident: Die Gerichtsschreiberin: Holliger De Martin</w:t>
      </w:r>
    </w:p>
    <w:p>
      <w:r>
        <w:rPr>
          <w:b/>
        </w:rPr>
        <w:t>E. 2.1</w:t>
      </w:r>
    </w:p>
    <w:p>
      <w:r>
        <w:t>Die Vorinstanz führte in ihrem Entscheid im Wesentlichen aus, die Be- schwerde müsse binnen zehn Tagen seit dem Tag, an welchem die Be- schwerdeführerin von der Verfügung Kenntnis erhalten habe, angebracht werden (Art. 17 Abs. 2 SchKG). Die Beschwerde richte sich gegen die Ver- fügung des Betreibungsamtes Q._____ vom 11. Juli 2024. Diese sei dem Beschwerdeführer am 2. August 2024 zugestellt worden, sodass die Frist am 3. August 2024 zu laufen begonnen habe. Die Frist sei folglich am 12. August 2024 abgelaufen und die vorliegende Beschwerde vom 15. Au- gust 2024 sei somit nicht fristgerecht erhoben worden (Art. 31 SchKG i.V.m. Art. 142 Abs. 1 ZPO). Auf die Beschwerde vom 15. August 2024 sei daher nicht einzutreten (angefochtener Entscheid E. 5.2).</w:t>
      </w:r>
    </w:p>
    <w:p>
      <w:r>
        <w:t>- 4 -</w:t>
      </w:r>
    </w:p>
    <w:p>
      <w:r>
        <w:rPr>
          <w:b/>
        </w:rPr>
        <w:t>E. 2.2</w:t>
      </w:r>
    </w:p>
    <w:p>
      <w:r>
        <w:t>Der Beschwerdeführer bringt in seiner Beschwerde vor, das Betreibungs- amt Lenzburg habe ein sehr wichtiges Dokument, die Anpassung des Exis- tenzminimums mittels Pfändungsvollzug, am Donnerstag, 1. August 2024 (Nationalfeiertag), per A-Post Plus an ihn versandt. Es sei eine Beschwer- defrist von 10 Tagen angesetzt worden. Diese Verfügung sei ihm von der Post einfach in den Briefkasten gelegt worden, ohne irgendeine Art Emp- fangsbestätigung. Er habe von der Verfügung erst am Dienstag, 6. August 2024, per Zufall Kenntnis erhalten. Daraufhin habe er dagegen mit Post- aufgabe vom 15. August 2024 beim Bezirksgericht Lenzburg Beschwerde eingereicht. Gestützt auf Art. 34 SchKG habe die Zustellung von Mitteilun- gen, Verfügungen und Entscheide der Betreibungs- und Konkursämter so- wie der Aufsichtsbehörden durch eingeschriebene Postsendungen oder auf andere Weise gegen Empfangsbestätigung zu erfolgen. Vorliegend sei diese Bestimmung missachtet und dies beim vorinstanzlichen Entscheid übersehen worden. Dieser Fehler sei vom Bezirksgericht Lenzburg telefo- nisch bestätigt worden.</w:t>
      </w:r>
    </w:p>
    <w:p>
      <w:r>
        <w:rPr>
          <w:b/>
        </w:rPr>
        <w:t>E. 3.1</w:t>
      </w:r>
    </w:p>
    <w:p>
      <w:r>
        <w:t>Das Betreibungsamt stellt den Gläubigern und dem Schuldner nach Ablauf der 30-tägigen Teilnahmefrist unverzüglich eine Abschrift der Pfändungs- urkunde zu (Art. 114 SchKG). Soweit der Schuldner bei der Pfändung an- wesend war, ist die Zustellung der Abschrift der Pfändungsurkunde keine Voraussetzung für die Gültigkeit der Pfändung. Die Zustellung der Abschrift der Pfändungsurkunde ist – bei Anwesenheit des Schuldners anlässlich des Pfändungsvollzugs – nicht Bestandteil des Pfändungsaktes und gehört denn auch nicht zur Pfändung selbst, sondern folgt ihr nach. Dies ändert aber nichts daran, dass die Beschwerdefrist hinsichtlich der Pfändung erst mit der Zustellung der Pfändungsurkunde zu laufen beginnt. Ist die Pfän- dungsurkunde noch nicht zugestellt, so kann die Beschwerdefrist nicht zu laufen beginnen (SØRENSEN, in: Staehelin/Bauer/Lorandi [Hrsg.], Basler Kommentar, Bundesgesetz über Schuldbetreibung und Konkurs I [BSK SchKG], 3. Aufl. 2021, N. 17 und 19 zu Art. 112 SchKG m.H.). Gemäss Art. 34 Abs. 1 SchKG erfolgt die Zustellung von Mitteilungen, Ver- fügungen und Entscheiden der Betreibungs- und Konkursämter sowie der Aufsichtsbehörde durch eingeschriebene Postsendung oder auf andere Weise gegen Empfangsbestätigung. Diese Vorschrift soll sicherstellen, dass die Behörde jederzeit über den Beweis verfügt, dass die Mitteilung den Empfänger erreicht hat. Bei Zustellung des fraglichen Schriftstücks per A-Post Plus hat der Eintrag, den die Post in ihrem Tracking-System vor- nimmt, nicht die Qualität einer Empfangsbestätigung, da die entsprechende Sendungsverfolgung mangels Bestätigung nicht erkennen lässt, ob jemand das Schreiben tatsächlich in Besitz genommen hat, um wen es sich dabei handelt, und noch weniger, ob das Schriftstück tatsächlich zur Kenntnis</w:t>
      </w:r>
    </w:p>
    <w:p>
      <w:r>
        <w:t>- 5 - genommen wurde (Urteil des Bundesgerichts 5A_305/2021 vom 4. Oktober 2021 E. 4.4.2.1). Eine Zustellung einer Pfändungsurkunde per A-Post Plus erfüllt die Anforderungen von Art. 34 Abs. 1 SchKG somit nicht (Urteile des Bundesgerichts 6B_1133/2023 vom 11. Juli 2024 E. 2.3.1 und 5A_707/2021 vom 19. Mai 2022 E. 2.3.1; NORDMANN/ONEYSER, BSK SchKG, a.a.O., N. 5 zu Art. 34 SchKG). Das Formerfordernis gemäss Art. 34 SchKG stellt zwar lediglich eine Ordnungsvorschrift dar (Urteil des Bundesgerichts 5A_545/2016 vom 23. Dezember 2016 E. 2.3). Das Nicht- einhalten der vorgeschriebenen Form hat deshalb keine Ungültigkeit der betroffenen Verfügung zur Folge (NORDMANN/ONEYSER, BSK SchKG, a.a.O., N. 7 zu Art. 34 SchKG m.w.H.). Dem zuständigen Vollstreckungs- organ obliegt jedoch die Beweislast dafür, dass die Verfügung ihren Adres- saten erreicht hat (BGE 121 III 11 E. 1; Urteil des Bundesgerichts 5A_338/2017 vom 20. Februar 2018 E. 4.2). Der Beweis lässt sich auch auf indirekte Weise führen, wenn der Adressat beispielsweise auf den Ent- scheid antwortet oder später darauf Bezug nimmt (vgl. Urteil des Bundes- gerichts 5A_408/2011 vom 2. September 2011 E. 2.2). Gemäss Art. 31 SchKG i.V.m. Art. 142 Abs. 1 ZPO beginnen Fristen, die durch eine Mitteilung oder den Eintritt eines Ereignisses ausgelöst werden, am folgenden Tag zu laufen. Der Fristbeginn ist von der fristansetzenden Behörde zu beweisen (vgl. BENN, in: Spühler/Tenchio/Infanger [Hrsg.], Basler Kommentar, Schweizerische Zivilprozessordnung, 4. Aufl. 2024, N. 16 zur Art. 142 ZPO).</w:t>
      </w:r>
    </w:p>
    <w:p>
      <w:r>
        <w:rPr>
          <w:b/>
        </w:rPr>
        <w:t>E. 3.2</w:t>
      </w:r>
    </w:p>
    <w:p>
      <w:r>
        <w:t>Vorliegend wurde die Pfändungsurkunde vom 11. Juli 2024 dem Beschwer- deführer per A-Post Plus, und somit unter Missachtung der mit Art. 34 Abs. 1 SchKG vorgeschriebenen Form, am 2. August 2024 in dessen Brief- kasten gelegt (vgl. Sendungsnummer: […]; Beilage 2 zum vorinstanzlichen Amtsbericht). Der Beschwerdeführer erhob gegen die Pfändungsurkunde mit Eingabe vom 15. August 2024 (Postaufgabe) Beschwerde; die Pfändungsurkunde hat ihn somit offensichtlich erreicht. Gemäss eigenen Angaben des Be- schwerdeführers nahm er jedoch erst am 6. August 2024 von der Pfän- dungsurkunde Kenntnis. Eine frühere Kenntnisnahme kann nicht nachge- wiesen werden, da durch die Sendungsverfolgung bei der Versandart A-Post Plus lediglich die Zustellung, nicht aber die Kenntnisnahme der Ver- fügung nachgewiesen wird. Folglich begann die zehntägige Beschwerde- frist gemäss Art. 17 Abs. 2 SchKG erst am 7. August 2024 zulaufen (Art. 142 Abs. 1 ZPO) und endete damit am 16. August 2024. Die Be- schwerde mit Postaufgabe vom 15. August 2024 erfolgte damit innert Frist und die Vorinstanz ist zu Unrecht nicht auf sie eingetreten.</w:t>
      </w:r>
    </w:p>
    <w:p>
      <w:r>
        <w:t>- 6 -</w:t>
      </w:r>
    </w:p>
    <w:p>
      <w:r>
        <w:rPr>
          <w:b/>
        </w:rPr>
        <w:t>E. 3.3</w:t>
      </w:r>
    </w:p>
    <w:p>
      <w:r>
        <w:t>Die Beschwerde ist gutzuheissen und der Entscheid des Bezirksgerichts Lenzburg vom 11. Oktober 2024 aufzuheben. Die Sache ist zur materiellen Beurteilung ans Bezirksgericht Lenzburg zurückzuweisen.</w:t>
      </w:r>
    </w:p>
    <w:p>
      <w:r>
        <w:rPr>
          <w:b/>
        </w:rPr>
        <w:t>E. 4</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