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KBE.2024.34 vom 8. Oktober 2024</w:t>
      </w:r>
    </w:p>
    <w:p>
      <w:r>
        <w:t>Ag Zivilgericht, 2024-10-08, DE</w:t>
      </w:r>
    </w:p>
    <w:p>
      <w:r>
        <w:rPr>
          <w:b/>
        </w:rPr>
        <w:t xml:space="preserve">Quelle: </w:t>
      </w:r>
      <w:r>
        <w:t>https://mcp.opencaselaw.ch/entscheid/ag_zivilgericht_KBE.2024.34</w:t>
      </w:r>
    </w:p>
    <w:p>
      <w:r>
        <w:t>FR: AG_ZIVILGERICHT KBE.2024.34 du 8 octobre 2024</w:t>
      </w:r>
    </w:p>
    <w:p>
      <w:r>
        <w:t>IT: AG_ZIVILGERICHT KBE.2024.34 del 8 ottobre 2024</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t>- 5 -</w:t>
      </w:r>
    </w:p>
    <w:p>
      <w:r>
        <w:rPr>
          <w:b/>
        </w:rPr>
        <w:t>E. 1.2</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 stimmungen des Beschwerdeverfahrens gemäss Art. 319 ff. ZPO sinnge- mäss anwendbar (Art. 20a Abs. 3 SchKG i.V.m. § 22 Abs. 2 EG SchKG). Neue Anträge, neue Tatsachenbehauptungen und neue Beweismittel sind danach im Beschwerdeverfahren vor der oberen betreibungsrechtlichen Aufsichtsbehörde ausgeschlossen (vgl. Art. 326 Abs. 1 ZPO). Anfechtungsobjekt des zweitinstanzlichen Beschwerdeverfahrens ist der Entscheid einer unteren Aufsichtsbehörde (vgl. FRANCO LORANDI, Betrei- bungsrechtliche Beschwerde und Nichtigkeit, 2000, N. 5 ff. zu Art. 18 SchKG). Der Streitgegenstand des zweitinstanzlichen Beschwerdeverfah- rens kann vom Beschwerdeführer somit nicht frei bestimmt werden, son- dern wird durch den angefochtenen Entscheid der unteren Aufsichtsbe- hörde verbindlich festgelegt. Gegenstände, über welche die untere Auf- sichtsbehörde nicht entschieden hat, hat die obere Aufsichtsbehörde nicht zu beurteilen, da sonst in die funktionelle Zuständigkeit der unteren Auf- sichtsbehörde eingegriffen würde.</w:t>
      </w:r>
    </w:p>
    <w:p>
      <w:r>
        <w:rPr>
          <w:b/>
        </w:rPr>
        <w:t>E. 2.1</w:t>
      </w:r>
    </w:p>
    <w:p>
      <w:r>
        <w:t>Die Vorinstanz führte zur Begründung des angefochtenen Entscheids im Wesentlichen aus, die bei ihr erhobene Beschwerde richte sich gegen das Schaltergespräch bzw. das Protokoll desselben vom 31. Mai 2024. Dieses Gespräch habe gemäss den Ausführungen des Beschwerdeführers auf seine Veranlassung hin stattgefunden. Der Beschwerdeführer rüge, dass sich das Regionale Betreibungsamt Q._____ an jenem Gespräch gewei- gert habe, einerseits zu bestätigen, dass die Betreibung Nr. xxx (durch Rückzug des Gläubigers) abschliessend erledigt sei, und andererseits zu bestätigen, dass die Betreibung Nr. yyy (durch Bezahlung der Forderung) abschliessend erledigt sei. Gültiges Anfechtungsobjekt einer Betreibungs- beschwerde sei eine Verfügung eines Betreibungsamts. Darunter fielen all jene amtlichen Vorkehren, die das Betreibungsverfahren vorantreiben. Die Weigerung des Regionalen Betreibungsamts Q._____, die vom Beschwer- deführer verlangten Bestätigungen auszustellen, falle klar nicht unter diese Definition, sollten sie doch gerade bestätigen, dass die entsprechenden Betreibungsverfahren abgeschlossen seien. Damit brächten sie das jewei- lige Betreibungsverfahren gerade nicht voran. Mithin mangle es an einer Verfügung und damit an einem gültigen Anfechtungsobjekt. Damit fehle es an einer Prozessvoraussetzung, weshalb auf die vorliegende Betreibungs- beschwerde nicht einzutreten sei.</w:t>
      </w:r>
    </w:p>
    <w:p>
      <w:r>
        <w:t>- 6 -</w:t>
      </w:r>
    </w:p>
    <w:p>
      <w:r>
        <w:rPr>
          <w:b/>
        </w:rPr>
        <w:t>E. 2.2</w:t>
      </w:r>
    </w:p>
    <w:p>
      <w:r>
        <w:t>Der Beschwerdeführer macht dagegen in seiner Beschwerde an die Schuldbetreibungs- und Konkurskommission im Wesentlichen geltend, die von der Vorinstanz verwendete Definition des Verfügungsbegriffs sei nicht zutreffend. Das Erfordernis, dass die Verfügung "das Verfahren vorantrei- ben" müsse, sei aus der Luft gegriffen und entspreche nicht dem von der Vorinstanz zitierten BGE 116 III 91 E. 1. Die Weigerung des Regionalen Betreibungsamts Q._____, die verlangten Bestätigungen auszustellen, sei eine materielle Handlung, deren Zweck die Fortsetzung des Betreibungs- verfahrens Nr. yyy sei.</w:t>
      </w:r>
    </w:p>
    <w:p>
      <w:r>
        <w:rPr>
          <w:b/>
        </w:rPr>
        <w:t>E. 3.1</w:t>
      </w:r>
    </w:p>
    <w:p>
      <w:r>
        <w:t>Gemäss Art. 17 Abs. 1 SchKG kann mit Ausnahme der Fälle, in denen die- ses Gesetz den Weg der gerichtlichen Klage vorschreibt, gegen jede Ver- fügung eines Betreibungs- oder eines Konkursamts bei der Aufsichtsbe- hörde wegen Gesetzesverletzung oder Unangemessenheit Beschwerde geführt werden. Nach konstanter bundesgerichtlicher Rechtsprechung ist unter einer Verfügung im Sinne dieser Bestimmung eine bestimmte behörd- liche Handlung in einem konkreten zwangsvollstreckungsrechtlichen Ver- fahren zu verstehen, die in Ausübung amtlicher Funktion ergeht und die fragliche Zwangsvollstreckung in rechtlicher Hinsicht beeinflusst; sie wirkt nach aussen und bezweckt, das Zwangsvollstreckungsverfahren voranzu- treiben oder abzuschliessen (BGE 142 III 425 E. 3.3 m.w.H.; FLAVIO CO- METTA/URS MÖCKLI, in: Basler Kommentar, Bundesgesetz über Schuldbe- treibung und Konkurs, 3. Aufl. 2021, N. 18 f. zu Art. 17 SchKG). Nicht als Verfügungen i.S.v. Art. 17 Abs. 1 SchKG gelten etwa blosse Meinungs- äusserungen, Mitteilungen, Willenserklärungen oder Absichtserklärungen, selbst wenn diese in schriftlicher Form abgegeben werden, sowie Bestäti- gungen bereits getroffener Entscheidungen und Feststellungsentscheide (COMETTA/MÖCKLI, a.a.O., N. 22 zu Art. 17 SchKG; LORANDI, a.a.O., N. 46 ff. zu Art. 17 SchKG). Anfechtbar ist auch das Unterlassen einer be- stimmten Handlung eines Betreibungsorgans im Einzelfall, welche es im Vollstreckungsverfahren in dessen Fortführung kraft seiner Amtsgewalt hätte vornehmen müssen und welche nach aussen wirkt (LORANDI, a.a.O., N. 94 zu Art. 17 SchKG).</w:t>
      </w:r>
    </w:p>
    <w:p>
      <w:r>
        <w:rPr>
          <w:b/>
        </w:rPr>
        <w:t>E. 3.2</w:t>
      </w:r>
    </w:p>
    <w:p>
      <w:r>
        <w:t>Wie die Vorinstanz im angefochtenen Entscheid zutreffend ausführte, wür- den die vom Beschwerdeführer verlangten Bestätigungen des Regionalen Betreibungsamts Q._____, dass die Betreibungen Nr. xxx (durch Rückzug des Gläubigers) und Nr. yyy (durch Bezahlung der Forderung) abschlies- send erledigt seien, gerade nicht dem Zweck dienen, diese Betreibungen voranzutreiben oder abzuschliessen. Vielmehr würde mit solchen Bestäti- gungen lediglich festgestellt, dass die fraglichen Betreibungen bereits ab- geschlossen sind. Das Regionale Betreibungsamt Q._____ war auch nicht</w:t>
      </w:r>
    </w:p>
    <w:p>
      <w:r>
        <w:t>- 7 - verpflichtet, eigens für den Beschwerdeführer solche Bestätigungen aus- zustellen, zumal der Status von Betreibungen bereits aus dem Betreibungs- registerauszug oder der Schuldnerinformation hervorgeht, die dem Be- schwerdeführer vom Betreibungsamt auf Verlangen ausgestellt werden können. Die Weigerung des Regionalen Betreibungsamts Q._____, dem Beschwerdeführer die gewünschten schriftlichen Bestätigungen auszustel- len, stellt folglich keine Verfügung i.S.v. Art. 17 Abs. 1 SchKG dar. Die Vor- instanz ist daher zu Recht mangels eines Anfechtungsobjekts auf die bei ihr erhobene Beschwerde nicht eingetreten. Soweit sich die vorliegende Beschwerde dagegen richtet, ist sie deshalb abzuweisen.</w:t>
      </w:r>
    </w:p>
    <w:p>
      <w:r>
        <w:rPr>
          <w:b/>
        </w:rPr>
        <w:t>E. 4.1</w:t>
      </w:r>
    </w:p>
    <w:p>
      <w:r>
        <w:t>Der Beschwerdeführer ersuchte in seiner Beschwerde an die Vorinstanz um Zusprechung einer Genugtuung i.S.v. Art. 5 Abs. 4 SchKG.</w:t>
      </w:r>
    </w:p>
    <w:p>
      <w:r>
        <w:rPr>
          <w:b/>
        </w:rPr>
        <w:t>E. 4.2</w:t>
      </w:r>
    </w:p>
    <w:p>
      <w:r>
        <w:t>Gemäss Art. 5 Abs. 1 SchKG haftet der Kanton für den Schaden, den die Beamten und Angestellten, ihre Hilfspersonen, die ausseramtlichen Kon- kursverwaltungen, die Sachwalter, die Liquidatoren, die Aufsichts- und Ge- richtsbehörden sowie die Polizei bei der Erfüllung der Aufgaben, die ihnen dieses Gesetz zuweist, widerrechtlich verursachen. Wo die Schwere der Verletzung es rechtfertigt, besteht zudem Anspruch auf Genugtuung (Art. 5 Abs. 4 SchKG). Die Ausgestaltung des Haftungsverfahrens ist Sache der Kantone; dabei ist es ihnen freigestellt, ob sie den Verwaltungsweg oder den Gerichtsweg vorsehen und ob sie eine oder zwei Instanzen zur Verfügung stellen wollen (BGE 126 III 431 E. 1b). Im Kanton Aargau haben Geschädigte ihre Forde- rungen auf Leistung von Schadenersatz oder Genugtuung gegen den Kan- ton schriftlich bei der Kompetenzstelle für Haftungsrecht im Departement Finanzen und Ressourcen geltend zu machen (§ 11 Abs. 1 und 3 des Haf- tungsgesetzes [HG; SAR 150.200] i.V.m. § 1 Abs. 1 der Haftungsverord- nung [HV; SAR 150.211]) und – falls es zu keinem Vergleich kommt – mit verwaltungsrechtlicher Klage weiterzuverfolgen (§ 11 Abs. 2 HG i.V.m. § 60 lit. c VRPG). Die Vorinstanz hat deshalb zu Recht entschieden, dass sie für die Behandlung des vom Beschwerdeführer geltend gemachten Ge- nugtuungsanspruchs nicht zuständig ist. Folglich ist nicht zu bestanden, dass die Vorinstanz auch in diesem Punkt auf die bei ihr erhobene Be- schwerde nicht eingetreten ist. Die vorliegende Beschwerde ist deshalb diesbezüglich ebenfalls abzuweisen.</w:t>
      </w:r>
    </w:p>
    <w:p>
      <w:r>
        <w:rPr>
          <w:b/>
        </w:rPr>
        <w:t>E. 5</w:t>
      </w:r>
    </w:p>
    <w:p>
      <w:r>
        <w:t>Soweit sich die vorliegende Beschwerde gegen die anlässlich des Pfän- dungsvollzugs vom 12. Januar 2024 vorgenommene Kontopfändung und die in der Pfändungsurkunde vom 27. Juni 2024 ausgewiesenen Kosten</w:t>
      </w:r>
    </w:p>
    <w:p>
      <w:r>
        <w:t>- 8 - richtet und der Beschwerdeführer eine Verzinsung sowie die Rückerstat- tung des Erlöses der Kontopfändung verlangt, handelt es sich um neue An- träge, die im Beschwerdeverfahren vor der oberen betreibungsrechtlichen Aufsichtsbehörde ausgeschlossen sind (vgl. Art. 326 Abs. 1 ZPO). Die diesbezüglichen Ausführungen in der vorliegenden Beschwerde sind neue Tatsachenbehauptungen und die dazu eingereichten Unterlagen stellen neue Beweismittel dar, die der Beschwerdeführer erstmals im zweitinstanz- lichen Beschwerdeverfahren eingereicht hat und deshalb gemäss Art. 326 Abs. 1 ZPO ebenfalls unzulässig sind. Gleiches gilt für die weiteren, nicht bereits vor Vorinstanz eingebrachten Anträge und Vorbringen. Insoweit ist auf die vorliegende Beschwerde nicht einzutreten.</w:t>
      </w:r>
    </w:p>
    <w:p>
      <w:r>
        <w:rPr>
          <w:b/>
        </w:rPr>
        <w:t>E. 6</w:t>
      </w:r>
    </w:p>
    <w:p>
      <w:r>
        <w:t>Zusammenfassend ist die Beschwerde somit abzuweisen, soweit darauf einzutreten ist.</w:t>
      </w:r>
    </w:p>
    <w:p>
      <w:r>
        <w:rPr>
          <w:b/>
        </w:rPr>
        <w:t>E. 7</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