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KBE.2024.30 vom 28. August 2024</w:t>
      </w:r>
    </w:p>
    <w:p>
      <w:r>
        <w:t>Ag Zivilgericht, 2024-08-28, DE</w:t>
      </w:r>
    </w:p>
    <w:p>
      <w:r>
        <w:rPr>
          <w:b/>
        </w:rPr>
        <w:t xml:space="preserve">Quelle: </w:t>
      </w:r>
      <w:r>
        <w:t>https://mcp.opencaselaw.ch/entscheid/ag_zivilgericht_KBE.2024.30</w:t>
      </w:r>
    </w:p>
    <w:p>
      <w:r>
        <w:t>FR: AG_ZIVILGERICHT KBE.2024.30 du 28 août 2024</w:t>
      </w:r>
    </w:p>
    <w:p>
      <w:r>
        <w:t>IT: AG_ZIVILGERICHT KBE.2024.30 del 28 agosto 2024</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w:t>
      </w:r>
    </w:p>
    <w:p>
      <w:r>
        <w:t>- 4 -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1.2</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 obere Aufsichtsbehörde nicht Frist zur Behebung des Mangels ansetzen (vgl. BGE 138 III 374 E. 4.3.1, Urteil des Bundesgerichts 4A_271/2016 vom 16. Januar 2017 E. 4.3; FRANCO LORANDI, Betreibungsrechtliche Be- schwerde und Nichtigkeit, 2000, N. 43 zu Art. 20a SchKG; KARL SPÜHLER, in: Basler Kommentar, Schweizerische Zivilprozessordnung, 3. Aufl. 2017, N. 4 zu Art. 321 ZPO i.V.m. N. 15 ff. zu Art. 311 ZPO). Die Begründung ist eine gesetzliche, von Amtes wegen zu prüfende Zuläs- sigkeitsvoraussetzung für die Beschwerde. Fehlt sie, tritt die obere Auf- sichtsbehörde auf die Beschwerde nicht ein. Gleiches muss gelten, wenn in der Beschwerde lediglich auf Vorakten verwiesen wird oder wenn die</w:t>
      </w:r>
    </w:p>
    <w:p>
      <w:r>
        <w:t>- 5 - Beschwerde den umschriebenen Anforderungen in anderweitiger Hinsicht nicht genügt (vgl. Urteil des Bundesgerichts 5A_209/2014 vom 2. Septem- ber 2014 E. 4.2.1).</w:t>
      </w:r>
    </w:p>
    <w:p>
      <w:r>
        <w:rPr>
          <w:b/>
        </w:rPr>
        <w:t>E. 2.1</w:t>
      </w:r>
    </w:p>
    <w:p>
      <w:r>
        <w:t>Die Vorinstanz begründete die Abweisung der bei ihr erhobenen Be- schwerde wie folgt: " 6. 6.1. Als gesetzliche Beschwerdegründe gegen Verfügungen eines Betrei- bungsamts können Gesetzesverletzung und Unangemessenheit vorge- bracht werden (Art. 17 Abs. 1 SchKG). Mit der betreibungsrechtlichen Be- schwerde können grundsätzlich nur formelle Mängel, d.h. Mängel des Be- treibungsverfahrens gerügt werden. Inhaltliche Einwendungen gegen den Bestand, den Umfang oder die Fälligkeit der betriebenen Forderung sind nicht mittels betreibungsrechtlicher Beschwerde, sondern – je nach dem Stand des Betreibungsverfahrens – mittels Rechtsvorschlag (Art. 74 SchKG), der Aufhebungs- (Art. 85 oder 85a SchKG), der Rückforderungs- (Art. 86 SchKG) oder der allgemeinen negativen Feststellungsklage (BGE 128 III 334) geltend zu machen. 6.2. Vorliegend rügte der Beschwerdeführer in seiner Eingabe vom 18. März 2024 zum einen die Zurückweisung seines Fortsetzungsbegehrens in der Betreibung Nr. xxx durch das Betreibungsamt Q._____. Zum anderen be- antragte der Beschwerdeführer, das zusätzliche Umtriebe, die ihm sein Schuldner, B._____, verursache, zur ursprünglichen Forderung von Fr. 31'700.– aufzurechnen seien; der von B._____ geschuldete Betrag be- laufe sich bis heute (gemeint ist der 18. März 2024) auf Fr. 32'219.–. In seiner Eingabe vom 23. März 2024 erkundigte sich der Beschwerdeführer, ob es zutreffend sei, dass er eine negative Feststellungsklage einreichen müsse und bejahendenfalls, wo dies zu tun wäre. Während das erste Vor- bringen des Beschwerdeführers das Betreibungsverfahren als solches be- trifft, thematisieren das zweite und das dritte Vorbringen die in Betreibung gesetzte Forderung respektive das Vorgehen zu deren Geltendmachung, die nicht im Rahmen einer betreibungsrechtlichen Beschwerde vorge- bracht werden können. Auf den zweiten und dritten Antrag ist folglich nicht weiter einzugehen. 6.3. Will ein Betriebener Rechtsvorschlag erheben, so hat er dies sofort oder innert zehn Tagen nach der Zustellung dem Betreibungsamt mündlich oder schriftlich zu erklären (Art. 74 Abs. 1 SchKG). Der Inhalt des Rechtsvor- schlags wird dem Betreibenden auf der für ihn bestimmten Ausfertigung des Zahlungsbefehls mitgeteilt, welche dem Betreibenden unmittelbar nach dem Rechtsvorschlag zuzustellen ist (Art. 76 SchKG); gemäss Art. 78 Abs. 1 SchKG bewirkt der Rechtsvorschlag die Einstellung der Be- treibung. Laut Art. 79 SchKG hat ein Gläubiger, gegen dessen Betreibung Rechtsvorschlag erhoben worden ist, seinen Anspruch im Zivilprozess gel- tend zu machen. Die Fortsetzung der Betreibung kann nur aufgrund eines vollstreckbaren Entscheids erwirkt werden, der den Rechtsvorschlag aus- drücklich beseitigt. Beruht eine Forderung auf einer durch Unterschrift be- kräftigten Schuldanerkennung, so kann der Gläubiger die provisorische</w:t>
      </w:r>
    </w:p>
    <w:p>
      <w:r>
        <w:t>- 6 - Rechtsöffnung verlangen, welche der Richter ausspricht, sofern der Be- triebene nicht sofort glaubhafte Einwendungen geltend macht, welche die Schuldanerkennung entkräften (Art. 82 SchKG). Nach Erteilung der provi- sorischen Rechtsöffnung kann der Gläubiger nach abgelaufener Zahlungs- frist, je nach Person des Schuldners, die provisorische Pfändung verlan- gen oder nach Massgabe von Art. 162 SchKG die provisorische Pfändung verlangen (Art. 83 Abs. 1 SchKG). Gesuche um Rechtsöffnung werden vom Richter des Betreibungsortes entschieden (Art. 84 Abs. 1 SchKG). Wie aus dem Amtsbericht des Betreibungsamts Q._____ vom 18. März 2024 hervorgeht, erhob der Schuldner, B._____, am 29. Februar 2024 per- sönlich am Schalter des Betreibungsamts Rechtsvorschlag gegen den Zahlungsbefehl Nr. xxx vom 15. Februar 2024 und erwirkte damit die vor- läufige Einstellung der Betreibung. Seinem Fortsetzungsbegehren vom 13. März 2024 legte der Beschwerde- führer laut Amtsbericht keinen Nachweis respektive Entscheid bei, welcher den vom Schuldner am 29. Februar 2024 gegen den Zahlungsbefehl Nr. xxx des Betreibungsamts Q._____ erhobenen Rechtsvorschlag besei- tigte. Das Betreibungsamt Q._____ hat mit seiner Rückweisungsverfügung vom 13. März 2024 folglich nur das geltende Recht eingehalten und dem Beschwerdeführer zu Recht die Fortsetzung der Betreibung verweigert, weil jener keinen rechtskräftigen Rechtsöffnungstitel vorlegte. Die Beschwerde ist somit abzuweisen."</w:t>
      </w:r>
    </w:p>
    <w:p>
      <w:r>
        <w:rPr>
          <w:b/>
        </w:rPr>
        <w:t>E. 2.2</w:t>
      </w:r>
    </w:p>
    <w:p>
      <w:r>
        <w:t>Der Beschwerdeführer setzt sich in seiner Beschwerde an die Schuldbe- treibungs- und Konkurskommission mit dieser (zutreffenden) Begründung des angefochtenen Entscheids nicht im Ansatz auseinander. Insbesondere legt er mit keinem Wort dar, weshalb die Vorinstanz zu Unrecht davon aus- gegangen sein soll, dass der Rechtsvorschlag nicht beseitigt wurde. Er führt lediglich aus, aus dem Darlehensvertrag vom 24. Juni 2022 sei er- sichtlich, dass der Schuldner ein zinsloses Darlehen in der Höhe von Fr. 30'000.00 von ihm erhalten habe. Dieses Darlehen hätte der Schuldner am 31. Dezember 2023 zurückzahlen sollen, was er jedoch nicht getan habe. Aus dem Darlehensvertrag sei eindeutig ersichtlich, dass der Schuld- ner sämtliche vertraglichen Bestimmungen akzeptiert und mit seiner Unter- schrift bestätigt habe. Die Eingabe des Beschwerdeführers vom 20. Juni 2024 genügt den in E. 1.2 hievor dargestellten Anforderungen an eine Be- schwerde i.S.v. Art. 18 Abs. 1 SchKG somit nicht. Auf die Beschwerde ist deshalb nicht einzutreten. Damit erübrigt es sich, auf die (ohnehin verspätet eingereichten) Eingaben vom 18. Juli 2024 und 5. August 2024 einzuge- hen.</w:t>
      </w:r>
    </w:p>
    <w:p>
      <w:r>
        <w:rPr>
          <w:b/>
        </w:rPr>
        <w:t>E. 3</w:t>
      </w:r>
    </w:p>
    <w:p>
      <w:r>
        <w:t>In Ergänzung zu den Ausführungen in E. 6.3 des vorinstanzlichen Ent- scheids ist abschliessend nochmals darauf hinzuweisen, dass der Rechts- vorschlag die Einstellung der Betreibung bewirkt (Art. 78 Abs. 1 SchKG). Gemäss Art. 88 Abs. 1 SchKG kann das Fortsetzungsbegehren erst ge- stellt werden, wenn der Rechtsvorschlag beseitigt wurde.</w:t>
      </w:r>
    </w:p>
    <w:p>
      <w:r>
        <w:t>- 7 - Beruht die in Betreibung gesetzte Forderung auf einer durch öffentliche Ur- kunde festgestellten oder durch Unterschrift bekräftigten Schuldanerken- nung, so kann der Gläubiger die provisorische Rechtsöffnung verlangen (Art. 82 Abs. 1 SchKG). Das Rechtsöffnungsgesuch ist beim Gericht des Betreibungsorts einzureichen (Art. 84 Abs. 1 SchKG). Im Kanton Aargau entscheidet über Rechtsöffnungsgesuche erstinstanzlich die Präsidentin oder der Präsident des Bezirksgerichts als Zivilgericht (Art. 251 lit. a ZPO i.V.m. § 6 lit. b EG ZPO). Falls der Beschwerdeführer die gegen den Schuldner angehobene Betrei- bung fortsetzen will, müsste er deshalb vor der Stellung eines neuen Fort- setzungsbegehrens beim Präsidium des Bezirksgerichts Rheinfelden ein Rechtsöffnungsgesuch einreichen. Der unteren und der oberen Aufsichts- behörde über die Betreibungsämter ist es mangels sachlicher Zuständig- keit verwehrt, im Beschwerdeverfahren nach Art. 17 f. SchKG über die Rechtsöffnung zu befinden.</w:t>
      </w:r>
    </w:p>
    <w:p>
      <w:r>
        <w:rPr>
          <w:b/>
        </w:rPr>
        <w:t>E. 4</w:t>
      </w:r>
    </w:p>
    <w:p>
      <w:r>
        <w:t>Mit dem vorliegenden Endentscheid ist der Antrag, der Beschwerde sei die aufschiebende Wirkung zu erteilen, gegenstandslos geworden.</w:t>
      </w:r>
    </w:p>
    <w:p>
      <w:r>
        <w:rPr>
          <w:b/>
        </w:rPr>
        <w:t>E. 5</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