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KBE.2024.20 vom 9. Juli 2024</w:t>
      </w:r>
    </w:p>
    <w:p>
      <w:r>
        <w:t>Ag Zivilgericht, 2024-07-09, DE</w:t>
      </w:r>
    </w:p>
    <w:p>
      <w:r>
        <w:rPr>
          <w:b/>
        </w:rPr>
        <w:t xml:space="preserve">Quelle: </w:t>
      </w:r>
      <w:r>
        <w:t>https://mcp.opencaselaw.ch/entscheid/ag_zivilgericht_KBE.2024.20</w:t>
      </w:r>
    </w:p>
    <w:p>
      <w:r>
        <w:t>FR: AG_ZIVILGERICHT KBE.2024.20 du 9 juillet 2024</w:t>
      </w:r>
    </w:p>
    <w:p>
      <w:r>
        <w:t>IT: AG_ZIVILGERICHT KBE.2024.20 del 9 luglio 2024</w:t>
      </w:r>
    </w:p>
    <w:p>
      <w:pPr>
        <w:pStyle w:val="Heading2"/>
      </w:pPr>
      <w:r>
        <w:t>Erwägungen</w:t>
      </w:r>
    </w:p>
    <w:p>
      <w:r>
        <w:rPr>
          <w:b/>
        </w:rPr>
        <w:t>E. 1</w:t>
      </w:r>
    </w:p>
    <w:p>
      <w:r>
        <w:t>Zuständig zum Entscheid über ein Ausstandsbegehren eines Gerichtpräsi- denten als untere betreibungsrechtliche Aufsichtsbehörde ist die obere kantonale Behörde, vorliegend die Schuldbetreibungs- und Konkurskom- mission des Obergerichts (§ 16 EG SchKG; vgl. JAMES T. PETER, in: Basler Kommentar, Bundesgesetz über Schuldbetreibung und Konkurs I, 3. Aufl. 2021, N. 19 zu Art. 10 SchKG).</w:t>
      </w:r>
    </w:p>
    <w:p>
      <w:r>
        <w:rPr>
          <w:b/>
        </w:rPr>
        <w:t>E. 2.1</w:t>
      </w:r>
    </w:p>
    <w:p>
      <w:r>
        <w:t>Gemäss Art. 10 Abs. 1 SchKG haben die Beamten und Angestellten der Betreibungs- und Konkursämter sowie die Mitglieder der Aufsichtsbehör- den in den Ausstand zu treten in eigener Sache (Ziff. 1), in Sachen ihrer Ehegatten, eingetragenen Partnerinnen oder Partner oder von Personen, mit denen sie eine faktische Lebensgemeinschaft führen (Ziff. 2), in Sachen von Verwandten und Verschwägerten in gerader Linie oder bis zum 3. Grad in der Seitenlinie (Ziff. 2bis), in Sachen einer Person, deren gesetzliche Ver- treter, Bevollmächtigte oder Angestellte sie sind (Ziff. 3) und in Sachen, in denen sie aus anderen Gründen befangen sein könnten (Ziff. 4).</w:t>
      </w:r>
    </w:p>
    <w:p>
      <w:r>
        <w:rPr>
          <w:b/>
        </w:rPr>
        <w:t>E. 2.2.1</w:t>
      </w:r>
    </w:p>
    <w:p>
      <w:r>
        <w:t>Die Gesuchstellerinnen und der Gesuchsteller begründen ihr Ausstands- begehren damit, dass sie sich aufgrund der Tatsache, dass die Kasse des Bezirksgerichts Lenzburg als Vertreterin des Gläubigers agiere und damit in eigener Sache betroffen sei, gestützt auf Art. 10 Abs. 1 Ziff. 1 SchKG als befangen fühlten.</w:t>
      </w:r>
    </w:p>
    <w:p>
      <w:r>
        <w:rPr>
          <w:b/>
        </w:rPr>
        <w:t>E. 2.2.2</w:t>
      </w:r>
    </w:p>
    <w:p>
      <w:r>
        <w:t>Der Ausstandsgrund "in eigener Sache" i.S.v. Art. 10 Abs. 1 Ziff. 1 SchKG meint die Fälle, in denen die Mitglieder der Aufsichtsbehörde selber Partei (Gläubiger oder Schuldner) des Betreibungsverfahrens sind (PETER, a.a.O., N. 6 zu Art. 10 SchKG). Parteien der vorliegend relevanten Betreibung Nr. xxx des Betreibungs- amts R._____ sind gemäss Pfändungsankündigung in der Gruppe Nr. yyy der Kanton Aargau als Gläubiger und A._____ als Schuldner. Entspre- chend kommt ihnen auch im erstinstanzlichen Beschwerdeverfahren</w:t>
      </w:r>
    </w:p>
    <w:p>
      <w:r>
        <w:t>- 4 - gemäss Art. 17 SchKG Parteistellung zu. Demgegenüber haben die Präsi- dentinnen und der Präsident des Bezirksgerichts Lenzburg als untere Auf- sichtsbehörde über die Betreibungsämter im Bezirk Lenzburg weder in der genannten Betreibung noch im bei ihnen hängigen Beschwerdeverfahren Parteistellung inne. Der Ausstandsgrund von Art. 10 Abs. 1 Ziff. 1 SchKG ist deshalb im vorliegenden Fall nicht erfüllt.</w:t>
      </w:r>
    </w:p>
    <w:p>
      <w:r>
        <w:rPr>
          <w:b/>
        </w:rPr>
        <w:t>E. 2.3.1</w:t>
      </w:r>
    </w:p>
    <w:p>
      <w:r>
        <w:t>Zu prüfen bleibt, ob der Ausstandsgrund der Befangenheit "aus anderen Gründen" gemäss Art. 10 Abs. 1 Ziff. 4 SchKG im vorliegenden Fall zu be- jahen ist.</w:t>
      </w:r>
    </w:p>
    <w:p>
      <w:r>
        <w:rPr>
          <w:b/>
        </w:rPr>
        <w:t>E. 2.3.2</w:t>
      </w:r>
    </w:p>
    <w:p>
      <w:r>
        <w:t>Bei der Auslegung der Ausstandsregeln des SchKG ist der Rechtspre- chung zu Art. 30 Abs. 1 BV Rechnung zu tragen. Nach Art. 30 Abs. 1 BV und Art. 6 Ziff. 1 EMRK hat jede Person Anspruch darauf, dass ihre Rechtssache von einem unbefangenen, unvoreingenom- menen und unparteiischen Richter beurteilt wird. Es soll garantiert werden, dass keine sachfremden Umstände, welche ausserhalb des Prozesses lie- gen, in sachwidriger Weise zugunsten oder zulasten einer Partei auf das gerichtliche Urteil einwirken. Art. 30 Abs. 1 BV soll im Einzelfall zu der für einen korrekten und fairen Prozess erforderlichen Offenheit des Verfahrens beitragen und damit ein gerechtes Urteil ermöglichen. Die Garantie des verfassungsmässigen Richters wird verletzt, wenn bei objektiver Betrach- tung Gegebenheiten vorliegen, die den Anschein der Befangenheit oder die Gefahr der Voreingenommenheit zu begründen vermögen. Voreingenom- menheit und Befangenheit in diesem Sinne werden nach der Rechtspre- chung angenommen, wenn sich im Einzelfall anhand aller tatsächlichen und verfahrensrechtlichen Umstände Gegebenheiten ergeben, die geeig- net sind, Misstrauen in die Unparteilichkeit des Richters zu erwecken (BGE 134 I 238 E. 2.1 mit Hinweisen). Solche Umstände können entweder in ei- ner bestimmten persönlichen Einstellung zum Verfahrensgegenstand, in ei- nem persönlichen Verhalten der betreffenden Person oder in gewissen äusseren Gegebenheiten, wozu auch funktionelle oder verfahrensorgani- satorische Aspekte gehören, liegen. Wesentlich ist, ob das Verfahren in Bezug auf den konkreten Sachverhalt und die konkret zu entscheidenden Rechtsfragen als offen erscheint (BGE 139 I 121 E. 5.1). Der Umstand, dass der Kanton Aargau im vorinstanzlichen Verfahren Par- tei ist, vermag nach dem Gesagten allein den Anschein der Befangenheit der Präsidentinnen und des Präsidenten des Bezirksgerichts Lenzburg so- mit nicht zu begründen. Daran ändert nichts, dass die Kasse des Bezirks- gerichts Lenzburg für den Gläubiger handelt. Von einer Richterin oder ei- nem Richter ist genügende professionelle Distanz zum Staat zu erwarten,</w:t>
      </w:r>
    </w:p>
    <w:p>
      <w:r>
        <w:t>- 5 - um die Sache auch dann unvoreingenommen zu beurteilen, wenn der Staat als Partei oder in anderer Weise an einem Verfahren beteiligt ist (Urteil des Bundesgerichts 5D_201/2017 vom 13. Februar 2018 E. 3.1). Konkrete Um- stände, die geeignet wären, Misstrauen in die Unparteilichkeit der Präsi- dentinnen und des Präsidenten des Bezirksgerichts Lenzburg hervorzuru- fen, sind nicht ersichtlich.</w:t>
      </w:r>
    </w:p>
    <w:p>
      <w:r>
        <w:rPr>
          <w:b/>
        </w:rPr>
        <w:t>E. 2.3.3</w:t>
      </w:r>
    </w:p>
    <w:p>
      <w:r>
        <w:t>Der Ausstandsgrund von Art. 10 Abs. 1 Ziff. 4 SchKG ist damit ebenfalls zu verneinen.</w:t>
      </w:r>
    </w:p>
    <w:p>
      <w:r>
        <w:rPr>
          <w:b/>
        </w:rPr>
        <w:t>E. 2.4</w:t>
      </w:r>
    </w:p>
    <w:p>
      <w:r>
        <w:t>Andere Ausstandsgründe gemäss Art. 10 Abs. 1 SchKG liegen von vorn- herein nicht vor. Das vorliegende Ausstandsgesuch ist deshalb abzuwei- sen.</w:t>
      </w:r>
    </w:p>
    <w:p>
      <w:r>
        <w:rPr>
          <w:b/>
        </w:rPr>
        <w:t>E. 3</w:t>
      </w:r>
    </w:p>
    <w:p>
      <w:r>
        <w:t>Im Verfahren vor der oberen betreibungsrechtlichen Aufsichtsbehörde sind ungeachtet des Ausgangs keine Verfahrenskosten zu erheben und keine Parteikosten zuzusprechen (Art. 20a Abs. 2 Ziff. 5 SchKG i.V.m. Art. 61 Abs. 2 lit. a und Art. 62 Abs. 2 GebV SchKG). Die Schuldbetreibungs- und Konkurskommission entscheidet: 1. Das Ausstandsgesuch wird abgewiesen. 2. Es werden keine Verfahrenskosten erhoben und keine Parteientschädigun- gen zugesprochen. Zustellung an: […] Mitteilung an: […]</w:t>
      </w:r>
    </w:p>
    <w:p>
      <w:r>
        <w:t>- 6 - Rechtsmittelbelehrung für die Beschwerde in Zivilsachen (Art. 72 ff., Art. 90 ff. BGG) Gegen diesen Entscheid kann innert 10 Tagen, von der schriftlichen Eröffnung des Ent- scheides an gerechnet, die Beschwerde an das Schweizerische Bundesgericht erhoben werden (Art. 44 Abs. 1, Art. 72, Art. 74, Art. 90, Art. 100 Abs. 2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die Partei als Beweismittel beruft, sind beizulegen, soweit die Partei sie in den Hän- den hat; ebenso ist der angefochtene Entscheid beizulegen (Art. 42 BGG). Aarau, 9. Juli 2024 Obergericht des Kantons Aargau Schuldbetreibungs- und Konkurskommission Der Präsident: Der Gerichtsschreiber: Holliger Huber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