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KBE.2024.15 vom 9. August 2024</w:t>
      </w:r>
    </w:p>
    <w:p>
      <w:r>
        <w:t>Ag Zivilgericht, 2024-08-09, DE</w:t>
      </w:r>
    </w:p>
    <w:p>
      <w:r>
        <w:rPr>
          <w:b/>
        </w:rPr>
        <w:t xml:space="preserve">Quelle: </w:t>
      </w:r>
      <w:r>
        <w:t>https://mcp.opencaselaw.ch/entscheid/ag_zivilgericht_KBE.2024.15</w:t>
      </w:r>
    </w:p>
    <w:p>
      <w:r>
        <w:t>FR: AG_ZIVILGERICHT KBE.2024.15 du 9 août 2024</w:t>
      </w:r>
    </w:p>
    <w:p>
      <w:r>
        <w:t>IT: AG_ZIVILGERICHT KBE.2024.15 del 9 agosto 2024</w:t>
      </w:r>
    </w:p>
    <w:p>
      <w:pPr>
        <w:pStyle w:val="Heading2"/>
      </w:pPr>
      <w:r>
        <w:t>Erwägungen</w:t>
      </w:r>
    </w:p>
    <w:p>
      <w:r>
        <w:rPr>
          <w:b/>
        </w:rPr>
        <w:t>E. 1.1</w:t>
      </w:r>
    </w:p>
    <w:p>
      <w:r>
        <w:t>Die Vorinstanz führte zur Begründung des angefochtenen Entscheids im Wesentlichen aus, dass eine mangel- oder fehlerhafte Zustellung anfecht- bar und nicht nichtig sei, sofern der Schuldner vom Zahlungsbefehl trotz- dem Kenntnis erhalten habe. Der Zahlungsbefehl gelte diesfalls im Zeit- punkt der Kenntnisnahme durch den Schuldner als zugestellt. Die Be- schwerdefrist und die Frist zu Erhebung des Rechtsvorschlags beginne mit der tatsächlichen Kenntnisnahme. Der Beschwerdeführer habe spätestens am 27. Februar 2024 [Datum auf vorinstanzlicher Beschwerde] Kenntnis vom Zahlungsbefehl erhalten. Die zehntägige Frist zur Erhebung des Rechtsvorschlags sei somit am 8. März 2024 unbenutzt abgelaufen. Die Beschwerde, mit welcher der Schuldner formelle Fehler im Zusammenhang mit der Zustellung des Zahlungsbefehls behaupte, verfolge somit keinen praktischen Zweck mit Blick auf die laufende Betreibung, weshalb mit Blick auf die Rüge der Verletzung der Zustellungsbedingungen nicht auf die Be- schwerde einzutreten sei (E. 1.5.3. des angefochtenen Entscheids). Weiter treffe es zu, dass die Zustellung des Zahlungsbefehls durch die Post an einen Bekannten des Beschwerdeführers anstatt an diesen selbst die Vorschriften von Art. 64 und 72 SchKG missachtet habe. Das Regionale Betreibungsamt Q._____ habe die Post jedoch in zulässiger Weise mit der Zustellung des Zahlungsbefehls beauftragt (Art. 72 Abs. 1 SchKG). Die fraglichen Zustellungsmängel würden daher alleine im Verantwortungsbe- reich der Post liegen, wobei die Postmitarbeitenden nicht der Aufsichtsbe- hörde in SchK-Sachen unterstünden. Mit Blick auf die Rüge der Verletzung des Postgeheimnisses sei daher ebenfalls nicht auf die Beschwerde einzu- treten (E. 1.5.4. des angefochtenen Entscheids).</w:t>
      </w:r>
    </w:p>
    <w:p>
      <w:r>
        <w:rPr>
          <w:b/>
        </w:rPr>
        <w:t>E. 1.2</w:t>
      </w:r>
    </w:p>
    <w:p>
      <w:r>
        <w:t>Der Beschwerdeführer bringt dagegen in seiner Beschwerde vor, der Zah- lungsbefehl sei offen ungerechtfertigt an eine nicht autorisierte und auch nicht beauftragte Person zugestellt worden und nicht an ihn. Es spiele</w:t>
      </w:r>
    </w:p>
    <w:p>
      <w:r>
        <w:t>- 4 - dabei keine Rolle, ob er Kenntnis [vom Zahlungsbefehl] erhalten habe oder nicht. Auf dem Zahlungsbefehl sei falsch vermerkt, dass ihm dieser persön- lich zugestellt worden sei. Hätte er den Zahlungsbefehl erhalten, hätte er Rechtsvorschlag erhoben. Die Person, welche den Zahlungsbefehl entge- gengenommen habe, habe den Postboten ganz klar darauf aufmerksam gemacht, dass er, der Adressat, nicht in der Schweiz, sondern im Ausland sei. Trotzdem habe der Postbote den Zahlungsbefehl dieser Person zuge- stellt und angekreuzt: Zustellung an den Schuldner. Der Datenschutz sei mit der "offenen" Zustellung des [sich nicht in einem verschlossenen Couvert befindlichen] Zahlungsbefehls im höchsten Masse verletzt worden. Es gehe niemanden etwas an, was für Betreibungen er bekomme. Der Zahlungsbefehl müsse daher erneut zugestellt werden.</w:t>
      </w:r>
    </w:p>
    <w:p>
      <w:r>
        <w:rPr>
          <w:b/>
        </w:rPr>
        <w:t>E. 2.1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2.2</w:t>
      </w:r>
    </w:p>
    <w:p>
      <w:r>
        <w:t>Zur Beschwerdeführung gemäss Art. 17 SchKG ist legitimiert, wer durch die angefochtene Verfügung eines Vollstreckungsorgans in seinen recht- lich geschützten oder zumindest tatsächlichen Interessen betroffen und dadurch beschwert ist und deshalb ein schutzwürdiges Interesse an der Aufhebung oder Abänderung der Verfügung hat (BGE 129 III 595 E. 3; CO- METTA/MÖCKLI, in: Staehelin/Bauer/Lorandi [Hrsg.], Basler Kommentar, Bundesgesetz über Schuldbetreibung und Konkurs I [BSK-SchKG],</w:t>
      </w:r>
    </w:p>
    <w:p>
      <w:r>
        <w:rPr>
          <w:b/>
        </w:rPr>
        <w:t>E. 2.3</w:t>
      </w:r>
    </w:p>
    <w:p>
      <w:r>
        <w:t>Zustellungen von Zahlungsbefehlen, welche mangelhaft erfolgt sind, sind anfechtbar und nicht nichtig (WÜTHRICH/SCHOCH, BSK-SchKG, a.a.O., N. 16 zu Art. 72 SchKG). Nach konstanter Rechtsprechung entfaltet selbst ein fehlerhaft, d.h. unter Verletzung der in Art. 64-66 SchKG enthaltenen Zustellungsvorschriften, zugestellter Zahlungsbefehl seine Wirkungen, wenn dieser gleichwohl dem Schuldner zugegangen ist (BGE 132 I 249 E. 6, 128 III 101 E. 2, 112 III 81 E. 2, 104 III 12 E. 1, 88 III 12 E. 1). Diesfalls gilt der Zahlungsbefehl im Zeitpunkt der Kenntnisnahme durch den Schuld- ner als zugestellt. Eine mangelhafte Zustellung ist nur dann zu wiederholen, wenn ein Rechtsschutzinteresse des Betroffenen gegeben ist (WÜTH- RICH/SCHOCH, BSK-SchKG, a.a.O., N. 16 zu Art. 72 SchKG). Ein solches fehlt, wenn die erneute und ordentliche Zustellung des Zahlungsbefehls dem Betriebenen keine zusätzlichen Erkenntnisse über die angehobene Betreibung verschafft und dessen Rechte trotz der mangelhaften Zustel- lung gewahrt sind (BGE 112 III 81 E. 2b). Falls die Kenntnisnahme erwie- sen ist, besteht daher kein schützenswertes Interesse, auf Beschwerde hin zu überprüfen, ob die Zustellung eines Zahlungsbefehls korrekt erfolgt ist (Urteile des Bundesgerichts 5A_837/2016 vom 6. März 2017 E. 3.1, 5A_843/2016 vom 31. Januar 2017 E. 4.4; BGE 112 III 81 E. 2b).</w:t>
      </w:r>
    </w:p>
    <w:p>
      <w:r>
        <w:rPr>
          <w:b/>
        </w:rPr>
        <w:t>E. 2.4</w:t>
      </w:r>
    </w:p>
    <w:p>
      <w:r>
        <w:t>Gemäss Vorbringen des Beschwerdeführers wurde der Zahlungsbefehl nicht ihm, sondern einer Drittperson zugestellt. Am 27. Februar 2024 erhob er diesbezüglich bei der Vorinstanz Beschwerde und legte dieser Be- schwerde eine Kopie des Zahlungsbefehls vom 14. Februar 2024 (vgl. Bei- lagen zur vorinstanzlichen Beschwerde) bei. Der Beschwerdeführer hatte somit spätestens am 27. Februar 2024 erwiesenermassen Kenntnis vom Zahlungsbefehl vom 22. Februar 2024 genommen und es ist nicht ersicht- lich, welcher Rechte er verlustig gegangen ist. Es besteht daher kein schüt- zenswertes Interesse auf Überprüfung der Korrektheit der Zustellung des Zahlungsbefehls, weder hinsichtlich der geltend gemachten Verletzung der Zustellungsbedingungen noch hinsichtlich der geltend gemachten Verlet- zung des Postgeheimnisses. Die Vorinstanz ist daher zurecht nicht auf die Beschwerde eingetreten und die dagegen gerichtete Beschwerde ist abzu- weisen.</w:t>
      </w:r>
    </w:p>
    <w:p>
      <w:r>
        <w:rPr>
          <w:b/>
        </w:rPr>
        <w:t>E. 3</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- 6 - Die Schuldbetreibungs- und Konkurskommission entscheidet: 1. Die Beschwerde wird abgewiesen.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9. August 2024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