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KBE.2024.12 vom 20. Juni 2024</w:t>
      </w:r>
    </w:p>
    <w:p>
      <w:r>
        <w:t>Ag Zivilgericht, 2024-06-20, DE</w:t>
      </w:r>
    </w:p>
    <w:p>
      <w:r>
        <w:rPr>
          <w:b/>
        </w:rPr>
        <w:t xml:space="preserve">Quelle: </w:t>
      </w:r>
      <w:r>
        <w:t>https://mcp.opencaselaw.ch/entscheid/ag_zivilgericht_KBE.2024.12</w:t>
      </w:r>
    </w:p>
    <w:p>
      <w:r>
        <w:t>FR: AG_ZIVILGERICHT KBE.2024.12 du 20 juin 2024</w:t>
      </w:r>
    </w:p>
    <w:p>
      <w:r>
        <w:t>IT: AG_ZIVILGERICHT KBE.2024.12 del 20 giugno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w:t>
      </w:r>
    </w:p>
    <w:p>
      <w:r>
        <w:t>September 2014 E. 4.2.1).</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COMETTA/MÖCKLI, in: Staehelin/Bauer/Lorandi [Hrsg.], Basler Kom- mentar, Bundesgesetz über Schuldbetreibung und Konkurs, 3. Aufl. 2021, N. 8 zu Art. 18 SchKG) und wie er geändert werden müsse. Die</w:t>
      </w:r>
    </w:p>
    <w:p>
      <w:r>
        <w:t>- 4 - Beschwerdeschrift hat sich vornehmlich mit den Erwägungen der unteren Aufsichtsbehörde auseinanderzusetzen und soll nicht einfach die Ausfüh- rungen vor der unteren Aufsichtsbehörde wiederholen. An dieser Pflicht än- dert die Geltung der Untersuchungsmaxime (Art. 20a Abs. 2 Ziff. 2 SchKG i.V.m. § 22 Abs. 3 EG SchKG) nichts. In der Begründung sind die Be- schwerdegründe zu nennen. Es muss daher knapp dargelegt werden, wo- rin die gerügte Rechtsverletzung oder Unangemessenheit besteht. Der Be- schwerdeführer hat dazu alle rechtlich relevanten Tatsachen anzuführen. Dabei genügt es nicht, auf die vor der unteren Aufsichtsbehörde vorge- brachten Gründe zu verweisen oder eine ganz allgemeine Kritik am ange- fochtenen Entscheid zu üben. Vielmehr ist erforderlich, dass die Passagen des Entscheids, die der Beschwerdeführer angreift, und die Aktenstücke, auf die sich seine Kritik stützt, genau bezeichnet werden. Enthält der Ent- scheid der unteren Aufsichtsbehörde mehrere selbständige (alternative oder subsidiäre) Begründungen, muss sich der Beschwerdeführer mit allen Begründungen auseinandersetzen, d.h. es ist für jede einzelne darzutun, weshalb sie Recht verletzt oder unangemessen ist. Bei ungenügender Be- gründung muss die obere Aufsichtsbehörde nicht Frist zur Behebung des Mangels ansetzen (vgl. BGE 138 III 374 E. 4.3.1; Urteil des Bundesgerichts 4A_271/2016 vom 16. Januar 2017 E. 4.3; LORANDI, Betreibungsrechtliche Beschwerde und Nichtigkeit, 2000, N. 43 zu Art. 20a SchKG; SPÜHLER, in: Spühler/Tenchio/Infanger [Hrsg.], Basler Kommentar, Schweizerische Zi- vilprozessordnung, 3. Aufl. 2017, N. 5 zu Art. 321 ZPO i.V.m. N. 15 ff. zu Art. 311 ZPO). Die Begründung ist eine gesetzliche, von Amtes wegen zu prüfende Zulässigkeitsvoraussetzung für die Beschwerde. Fehlt sie, tritt die obere Aufsichtsbehörde auf die Beschwerde nicht ein. Gleiches muss gel- ten, wenn in der Beschwerde lediglich auf Vorakten verwiesen wird oder wenn die Beschwerde den umschriebenen Anforderungen in anderweitiger Hinsicht nicht genügt (vgl. Urteil des Bundesgerichts 5A_209/2014 vom</w:t>
      </w:r>
    </w:p>
    <w:p>
      <w:r>
        <w:rPr>
          <w:b/>
        </w:rPr>
        <w:t>E. 2.2.1</w:t>
      </w:r>
    </w:p>
    <w:p>
      <w:r>
        <w:t>Die Vorinstanz wies die bei ihr erhobene Beschwerde mit folgender Be- gründung ab: " 2.2 Im vorliegenden Fall beantragt der Beschwerdeführer die Aufhebung des Pfändungsvollzugs vom 18. Januar 2024, wobei er damit wohl die Pfän- dungsurkunde vom 18. Januar 2024 meint. Zur Begründung führt er aus, dass die Gegenüberstellung einer Forderung in der Höhe von CHF 800.00 und eines zu pfändenden Vermögenswerts (Stockwerkeigentum) in der Höhe von mehreren Hunderttausend CHF eine Gesetzesverletzung und offensichtliche Unangemessenheit darstelle. Damit macht der Beschwerdeführer einen Verstoss gegen Art. 97 Abs. 2 SchKG geltend. Das Regionale Betreibungsamt Q._____ führt dazu im Amtsbericht vom 15. Februar 2024 aus, dass es sich beim</w:t>
      </w:r>
    </w:p>
    <w:p>
      <w:r>
        <w:t>- 5 - Stockwerkeigentum um die einzigen bekannten Vermögenswerte des Be- schwerdeführers handle, während das Einkommen des Beschwerdefüh- rers (AHV-Rente und Ergänzungsleistungen) nicht pfändbar sei. Weiter führt es aus, dass das Verhältnis zwischen Schuld und Pfandsache keine Rolle spiele und dem Beschwerdeführer andere Möglichkeiten zur Verfü- gung stehen würden, um die Versteigerung seines Stockwerkeigentums zu verhindern. Gemäss Art. 97 Abs. 1 SchKG schätzt das Betreibungsamt die gepfände- ten Gegenstände, nötigenfalls mit Zuziehung von Sachverständigen. Dies, damit nicht mehr als nötig mit Beschlag belegt wird (Art. 97 Abs. 2 SchKG, sog. "Überpfändung"), umgekehrt aber auch das Interesse des Gläubigers an einer ausreichenden Deckung gewahrt wird (BGE 122 III 338 E. 1 a). Die Renten aus AHV und Ergänzungsleistungen sind dabei nicht pfändbar (Art. 92 Abs. 1 Ziff. 9a SchKG i.V.m. Art. 20 Abs. 1 AHVG und Art. 20 Abs. 1 ELG). In erster Linie wird das bewegliche Vermögen mit Einschluss der Forderungen und der beschränkt pfändbaren Forderungen gepfändet (Art. 95 Abs. 1 SchKG). Das unbewegliche Vermögen wird nur gepfändet, soweit das bewegliche zur Deckung der Forderung nicht ausreicht (Art. 95 Abs. 2 SchKG). Ein Grundstück kann dabei auch gepfändet werden, wenn der Grundstückwert weit über dem Wert der Forderung des pfändenden Gläubigers liegt (Urteil des Kantonsgerichts Fribourg 105 2017 27 vom</w:t>
      </w:r>
    </w:p>
    <w:p>
      <w:r>
        <w:rPr>
          <w:b/>
        </w:rPr>
        <w:t>E. 2.3</w:t>
      </w:r>
    </w:p>
    <w:p>
      <w:r>
        <w:t>In der Beschwerde an die Schuldbetreibungs- und Konkurskommission setzt sich der Beschwerdeführer mit dieser Begründung des angefochtenen Entscheids nicht auseinander. Vielmehr macht er lediglich pauschal gel- tend, der angefochtene Entscheid sei für ihn nicht nachvollziehbar und ver- letze Art. 5 und Art. 9 BV. Der Beschwerdeführer legt dabei aber nicht sub- stantiiert dar, inwiefern der angefochtene Entscheid im Sinne seiner Vor- bringen nicht im öffentlichen Interesse liegen und nicht verhältnismässig, vertrauenswürdig, rücksichtsvoll sowie willkürlich sein soll. Vielmehr ver- weist er auf Ausführungen seinerseits in den vor der unteren Aufsichtsbe- hörde eingebrachten Eingaben, ohne auf die Begründung im angefochte- nen Entscheid einzugehen. Insbesondere setzt sich der Beschwerdeführer mit der vorinstanzlichen Begründung, wonach auch die Interessen der Gläubiger an einer ausreichenden Deckung ihrer Forderungen zu berück- sichtigten seien und vorliegend mangels pfändbaren Einkommens und Ver- mögens auch unbewegliches Vermögen gepfändet werden dürfe, nicht auseinander. Vielmehr wiederholt der Beschwerdeführer seine Vorbringen aus dem vorinstanzlichen Verfahren und macht hauptsächlich geltend, dass das der Forderung des Gläubigers zugrundeliegende Urteil des Ober- gerichts des Kantons Aargau vom 15. September 2021 ein Fehlurteil sei. Mit der zutreffenden Begründung der Vorinstanz, wonach es nicht Aufgabe der Aufsichtsbehörde ist, die mit Betreibungsbegehren geltend gemachten Forderungen auf ihre Rechtmässigkeit zu überprüfen (vgl. dazu: Art. 69 Abs. 2 Ziff. 3 SchKG; AMONN/WALTHER, Grundriss des Schuldbetreibungs- und Konkursrechts, 9. Aufl. 2013, § 18 Rz. 3; FRANCO LORANDI, Betrei- bungsrechtliche Beschwerde und Nichtigkeit, 2000, N. 36 f. zu Art. 17 SchKG), setzt sich der Beschwerdeführer indessen ebenfalls mit keinem Wort auseinander. Die Eingabe des Beschwerdeführers vom 9. April 2024</w:t>
      </w:r>
    </w:p>
    <w:p>
      <w:r>
        <w:t>- 7 - genügt damit den in E. 2.1 hiervor genannten Anforderungen an eine Be- schwerde i.S.v. Art. 18 Abs. 1 SchKG nicht.</w:t>
      </w:r>
    </w:p>
    <w:p>
      <w:r>
        <w:rPr>
          <w:b/>
        </w:rPr>
        <w:t>E. 2.4</w:t>
      </w:r>
    </w:p>
    <w:p>
      <w:r>
        <w:t>Soweit der Beschwerdeführer mit seiner Beschwerde vom 9. April 2024 erstmals gestützt auf Art. 5 Abs. 4 SchKG die Ausrichtung einer angemes- senen Genugtuung verlangt, macht er damit einen Anspruch geltend, wel- cher nicht Gegenstand des angefochtenen Entscheids war. Ohnehin richtet sich im Kanton Aargau das Verfahren um Beurteilung solcher Ansprüche nach dem Haftungsgesetz vom 24. März 2009 (HG; SAR 150.200) und der Haftungsverordnung vom 13. Januar 2010 (HV; SAR 150.211). Gemäss § 11 Abs. 1 HG i.V.m. § 1 HV sind Schadenersatzforderungen gegen den Kanton schriftlich bei der Kompetenzstelle für Haftungsrecht im Departe- ment Finanzen und Ressourcen geltend zu machen und – falls kein Ver- gleich zustande kommt – mit verwaltungsgerichtlicher Klage weiterzuver- folgen (§ 11 Abs. 2 HG). Die Schuldbetreibungs- und Konkurskommission des Obergerichts ist für deren Beurteilung nicht zuständig.</w:t>
      </w:r>
    </w:p>
    <w:p>
      <w:r>
        <w:rPr>
          <w:b/>
        </w:rPr>
        <w:t>E. 2.5</w:t>
      </w:r>
    </w:p>
    <w:p>
      <w:r>
        <w:t>Zusammengefasst genügt die Eingabe des Beschwerdeführers vom 9. Ap- ril 2024 den gesetzlichen Anforderungen an eine Beschwerdeschrift nicht und es werden darin unzulässige Beschwerdegründe vorgebracht. Auf die Beschwerde ist deshalb nicht einzutreten.</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