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KBE.2023.6 vom 23. Juni 2023</w:t>
      </w:r>
    </w:p>
    <w:p>
      <w:r>
        <w:t>Ag Zivilgericht, 2023-06-23, DE</w:t>
      </w:r>
    </w:p>
    <w:p>
      <w:r>
        <w:rPr>
          <w:b/>
        </w:rPr>
        <w:t xml:space="preserve">Quelle: </w:t>
      </w:r>
      <w:r>
        <w:t>https://mcp.opencaselaw.ch/entscheid/ag_zivilgericht_KBE.2023.6</w:t>
      </w:r>
    </w:p>
    <w:p>
      <w:r>
        <w:t>FR: AG_ZIVILGERICHT KBE.2023.6 du 23 juin 2023</w:t>
      </w:r>
    </w:p>
    <w:p>
      <w:r>
        <w:t>IT: AG_ZIVILGERICHT KBE.2023.6 del 23 giugno 2023</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 einandersetzen, d.h. es ist für jede einzelne darzutun, weshalb sie Recht</w:t>
      </w:r>
    </w:p>
    <w:p>
      <w:r>
        <w:t>- 4 - verletzt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2.2.1</w:t>
      </w:r>
    </w:p>
    <w:p>
      <w:r>
        <w:t>Die Vorinstanz wies die bei ihr erhobene Beschwerde mit folgender Be- gründung ab: " 3. Der Beschwerdeführer verlangt zunächst die sofortige Aufhebung der Ein- kommenspfändung mit der Begründung, das Betreibungsamt sei gar nicht befugt, eine solche auszusprechen. Der Schuldner ist an seinem Wohnort zu betreiben (Art. 46 Abs. 1 SchKG). Zuständig für die Durchführung der Schuldbetreibungen und Konkurse (und damit auch für die Pfändung) sind die durch die Kantone zu bezeich- nenden Betreibungskreise. Gemäss § 1 Abs. 1 EG SchKG bildet jede Ein- wohnergemeinde einen Betreibungskreis. Zwei oder mehr Einwohnerge- meinden können sich mit Genehmigung der Schuldbetreibungs- und Kon- kurskommission des Obergerichts zu einem Betreibungskreis zusammen- schliessen (§ 1 Abs. 2 EG SchKG). Der Beschwerdeführer wohnt in R. Diese Einwohnergemeinde gehört zum Betreibungskreis des Betreibungs- amtes Q. Das Betreibungsamt Q. ist folglich zuständig zur Durchführung der Schuldbetreibung. In welcher Form die Angestellten des Betreibungs- amtes angestellt sind, ist dabei unerheblich und ändert nichts an der Zu- ständigkeit des Betreibungsamtes Q. für die vorliegende Pfändung. An- dere Gründe für die Aufhebung der Pfändung bringt der Beschwerdeführer nicht vor und sind auch nicht ersichtlich. Die Beschwerde ist in diesem Punkt somit abzuweisen.</w:t>
      </w:r>
    </w:p>
    <w:p>
      <w:r>
        <w:rPr>
          <w:b/>
        </w:rPr>
        <w:t>E. 2.2.2</w:t>
      </w:r>
    </w:p>
    <w:p>
      <w:r>
        <w:t>In der Beschwerde an die Schuldbetreibungs- und Konkurskommission wiederholt der Beschwerdeführer teilweise wörtlich das Vorbringen, das Regionale Betreibungsamt Q. existiere – wie alle Betreibungsämter in der Schweiz – seit der mit dem Inkrafttreten des Bundespersonalgesetzes ver- bundenen Aufhebung des Beamtenstatus auf Bundesebene im Jahre 2002 nicht mehr und sei seither nicht mehr zur Vornahme hoheitlicher Handlun- gen legitimiert. Diese Ausführungen stellen keine Auseinandersetzung mit E. 3 des vorinstanzlichen Entscheids dar. Es genügt nicht, den vorinstanz- lichen Erwägungen bloss die eigene Weltanschauung (Behörden seien Fir- men, weshalb ihnen die hoheitliche Legitimation fehle und alle ihre Hand- lungen nichtig seien; die Vorinstanz wie die übrigen Behörden gingen nicht auf ihre Legitimation ein, wähnten sich immer noch als öffentlich-rechtliche Institutionen, wollten aber die illegale Umwandlung in private Kapitalgesell- schaften nicht eingestehen, die handelsrechtlich nicht vollständig gegrün- det worden seien, etc.) entgegenzuhalten (vgl. Urteil des Bundesgerichts 5D_75/2022 vom 13. Juni 2022 E. 3). Im Übrigen hatte die Abschaffung des Beamtenstatus auf Bundesebene lediglich Auswirkungen auf die dienstrechtliche Stellung des Bundespersonals, aber keinerlei Folgen für die Rechtsform der Schweizerischen Eidgenossenschaft sowie der Kan- tone und Gemeinden, welche dadurch nicht in privatrechtliche Gesellschaf- ten (Aktiengesellschaften, Gesellschaften mit beschränkter Haftung o.ä.) umgewandelt wurden, sondern nach wie vor öffentlich-rechtliche Körper- schaften sind (ULRICH HÄFELIN/GEORG MÜLLER/FELIX UHLMANN, Allgemei- nes Verwaltungsrecht, 8. Aufl. 2020, Rz. 1634 ff., 1641). Auf die Ausfüh- rungen zur Berechnung seines betreibungsrechtlichen Existenzminimums in E. 4 des vorinstanzlichen Entscheids geht der Beschwerdeführer in der vorliegenden Beschwerde mit keinem Wort ein. Die Eingabe des Beschwerdeführers vom 16. Mai 2023 genügt den in E. 2.1 genannten Anforderungen an eine Beschwerde i.S.v. Art. 18 Abs. 1 SchKG somit nicht. Auf die Beschwerde ist deshalb nicht einzutreten.</w:t>
      </w:r>
    </w:p>
    <w:p>
      <w:r>
        <w:t>- 7 - 3. 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Sollte der Beschwerdeführer weitere Beschwerden von der Art der vorliegenden einreichen, müsste er mit der Auferlegung ei- ner Busse bis zu Fr. 1'500.00 sowie der Verfahrenskosten rechnen (vgl. Art. 20a Abs. 2 Ziff. 5 Satz 2 SchKG). Die Schuldbetreibungs- und Konkurskommission entscheidet:</w:t>
      </w:r>
    </w:p>
    <w:p>
      <w:r>
        <w:rPr>
          <w:b/>
        </w:rPr>
        <w:t>E. 4.1</w:t>
      </w:r>
    </w:p>
    <w:p>
      <w:r>
        <w:t>Zudem macht der Beschwerdeführer sinngemäss geltend, sein Existenz- minimum sei nicht richtig berechnet worden. So seien die von ihm effektiv zu bezahlenden Wohnkosten nicht vollständig berücksichtigt worden. Zu- dem seien seine Franchise und die Eigenkosten, welche er bei jeder Infil- tration zahlen müsse nicht im Steuerbescheid der Krankenkasse aufge- taucht und nicht einberechnet worden. Weiter sei ihm nichts für die Arbeit im Homeoffice angerechnet worden, obwohl er diesbezügliche Ausgaben wie Telefon, PC und gutes Internet habe. Auch akzeptiere er nicht, seine Garage gegen einen Aussenparkplatz eintauschen zu müssen. Das alte</w:t>
      </w:r>
    </w:p>
    <w:p>
      <w:r>
        <w:t>- 5 - Auto leide ansonsten an der Witterung und dadurch würden Mehrkosten entstehen, welche er nicht tragen könne.</w:t>
      </w:r>
    </w:p>
    <w:p>
      <w:r>
        <w:rPr>
          <w:b/>
        </w:rPr>
        <w:t>E. 4.2</w:t>
      </w:r>
    </w:p>
    <w:p>
      <w:r>
        <w:t>[…]</w:t>
      </w:r>
    </w:p>
    <w:p>
      <w:r>
        <w:rPr>
          <w:b/>
        </w:rPr>
        <w:t>E. 4.3</w:t>
      </w:r>
    </w:p>
    <w:p>
      <w:r>
        <w:t>Aus der Existenzminimumberechnung sowie den Vorbringen des Amtsbe- richts geht hervor, dass der Mietzins des Beschwerdeführers zu einem An- teil von einem Drittel (folglich mit Fr. 510.00) berücksichtigt wurde, weil er mit seinen beiden volljährigen Söhnen zusammenwohnt und diese nicht in Ausbildung sind. Die Kosten für die Krankenkassenprämien wurden nicht berücksichtigt, weil der Beschwerdeführer keinen Nachweis der Zahlung erbracht habe. Zudem wurde dem Beschwerdeführer mit der Verfügung vom 28. Februar 2023 mitgeteilt, dass die Kosten für die Garage nur noch bis Juni 2023 berücksichtigt würden und danach nur noch jene für einen Aussenparkplatz. Der Grundsatz, wonach der von der Lohnpfändung betroffene Schuldner seine Lebenshaltung einschränken und mit dem ihm zugestandenen Exis- tenzminimum auskommen muss, gilt auch in Bezug auf die Kosten für das Auto. Dem Beschwerdeführer wurde grundsätzlich eine genügende Frist zur Kündigung des Garagenplatzes gewährt. Zudem hat er eine günstigere Alternative mit der Möglichkeit der Miete eines Aussenparkplatzes. Damit ist die Reduktion per Juni 2023 grundsätzlich angemessen. Weil der Be- schwerdeführer diesen Punkt in der Beschwerde jedoch angefochten hat, ist die Frist für die Kündigung der Garage nun faktisch nicht mehr einzu- halten. Die Fr. 110.00 für den Garagenplatz sind ihm demnach noch bis Juli 2023 anzurechnen, sodass er per Ende Juni 2023 kündigen kann. Die Krankenkassenprämien wurden nicht berücksichtigt, weil der Be- schwerdeführer die Belege entgegen der entsprechenden Aufforderung des Betreibungsamtes (siehe Beilage 1 zum Amtsbericht) nicht eingereicht hat. Dies ist entsprechend dem Effektivitätsgrundsatz nicht zu beanstan- den. Die Franchise von jährlich Fr. 300.00 inkl. dem Selbstbehalt von Fr. 700.00 wurden entgegen den Ausführungen des Beschwerdeführers mit dem monatlichen Betrag von Fr. 83.35 berücksichtigt. Für die Kosten der Infiltrationen hat der Beschwerdeführer keine Belege eingereicht. Es ist daher davon auszugehen, dass diese mit der Franchise und dem Selbstbehalt abgedeckt sind. Betreffend die Berücksichtigung der Prämien steht es dem Beschwerdeführer frei, jederzeit beim Betreibungsamt eine Revision der Berechnung des Existenzminimums zu beantragen, sollte er die Zahlungen effektiv tätigen und dies durch Quittungen nachweisen kön- nen (Art. 93 Abs. 3 SchKG). Dasselbe gilt für die Wohnkosten. Der Beschwerdeführer bringt in seiner E-Mail an das Betreibungsamt vom 1. Februar 2023 vor, das Sozialamt zahle pro Kind Fr. 430.00 an die Wohnung, weshalb sein Anteil Fr. 670.00 betrage (siehe Beilage 1 zur Beschwerde). Er hat dafür indes keine Belege vorgelegt. Kann der Beschwerdeführer dem Betreibungsamt durch Urkun- den nachweisen, dass sein Anteil an der Wohnungsmiete tatsächlich Fr. 670.00 beträgt und er diesen in letzter Zeit auch gezahlt hat, so ist der Betrag in Höhe von Fr. 670.00 zu berücksichtigen (Art. 93 Abs. 3 SchKG). Gemäss Ziff. II.1. des Kreisschreibens sind Wohnkosten bei einer Wohn- gemeinschaft, eingeschlossen volljährige Kinder mit eigenem Erwerbsein- kommen, in der Regel anteilsmässig zu berücksichtigen. Vorliegend hat der Beschwerdeführer jedoch ausgeführt, seine Söhne würden gerade</w:t>
      </w:r>
    </w:p>
    <w:p>
      <w:r>
        <w:t>- 6 - nicht arbeiten. Dass sie dies allenfalls könnten, darf nicht zu seinen Lasten berücksichtigt werden, zumal Wohnkosten von Fr. 670.00 bereits sehr tief sind. Soweit der Beschwerdeführer moniert, es seien ihm keine Auslagen für die Arbeit im Homeoffice berücksichtigt worden, ist festzustellen, dass gemäss Betreibungsamt die Kosten für das Homeoffice bereits im Arbeitsvertrag berücksichtigt wurden (siehe E-Mail vom 3. Februar 2023, Beilage 1 zur Beschwerde). Damit der Beschwerdeführer vom Lohnanteil für das Home- office profitieren könnte, müssten ihm diese Auslagen jedoch auch beim Existenzminimum zugeschlagen werden, ansonsten sie ja gepfändet wür- den. Die Zuschläge für diese Auslagen stehen ebenfalls unter dem Effek- tivitätsgrundsatz, weshalb der Beschwerdeführer die in diesem Zusam- menhang geleisteten Zahlungen gegenüber dem Betreibungsamt mittels Revisionsbegehren nachweisen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