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KBE.2023.28 vom 7. Dezember 2023</w:t>
      </w:r>
    </w:p>
    <w:p>
      <w:r>
        <w:t>Ag Zivilgericht, 2023-12-07, DE</w:t>
      </w:r>
    </w:p>
    <w:p>
      <w:r>
        <w:rPr>
          <w:b/>
        </w:rPr>
        <w:t xml:space="preserve">Quelle: </w:t>
      </w:r>
      <w:r>
        <w:t>https://mcp.opencaselaw.ch/entscheid/ag_zivilgericht_KBE.2023.28</w:t>
      </w:r>
    </w:p>
    <w:p>
      <w:r>
        <w:t>FR: AG_ZIVILGERICHT KBE.2023.28 du 7 décembre 2023</w:t>
      </w:r>
    </w:p>
    <w:p>
      <w:r>
        <w:t>IT: AG_ZIVILGERICHT KBE.2023.28 del 7 dicembre 2023</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t>- 3 -</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w:t>
      </w:r>
    </w:p>
    <w:p>
      <w:r>
        <w:t>Die Gesuchsteller begründen ihr Ausstandsbegehren damit, dass sie sich aufgrund der beruflichen und persönlichen Beziehung zum Einzelzeich- nungsberechtigten der F._____ AG, G._____, als befangen fühlten. G._____ sei vom […] bis […] als Ersatzrichter am Bezirksgericht T._____ tätig gewesen und habe vom […] bis […] als Bezirksrichter geamtet. Er treffe sich überdies mit verschiedenen Mitarbeitenden des Gerichts in pri- vatem Rahmen. Zu befinden ist somit über den vorgebrachten Ausstandsgrund der Befan- genheit "aus anderen Gründen" gemäss Art. 10 Abs. 1 Ziff. 4 SchKG.</w:t>
      </w:r>
    </w:p>
    <w:p>
      <w:r>
        <w:rPr>
          <w:b/>
        </w:rPr>
        <w:t>E. 2.3.1</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w:t>
      </w:r>
    </w:p>
    <w:p>
      <w:r>
        <w:t>- 4 - einem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w:t>
      </w:r>
    </w:p>
    <w:p>
      <w:r>
        <w:rPr>
          <w:b/>
        </w:rPr>
        <w:t>E. 2.3.2</w:t>
      </w:r>
    </w:p>
    <w:p>
      <w:r>
        <w:t>Einziges Mitglied des Verwaltungsrats der in der Betreibung Nr. xxx des Betreibungsamts Q._____ gegen die E._____ AG als Gläubigerin auftre- tenden F._____ AG, T._____, ist G._____, der am Bezirksgericht T._____ vom […] bis […] als Ersatzrichter tätig war, vom […] bis […] als Bezirksrich- ter amtete und sich überdies mit verschiedenen Mitarbeitenden des Ge- richts in privatem Rahmen treffe. Unter diesen Umständen ist der objektive Anschein der Befangenheit aller Gesuchsteller gegeben und das Aus- standsgesuch deshalb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zur Übertragung auf das neu zuständige Bezirksgerichtspräsi- dium zuzustellen.</w:t>
      </w:r>
    </w:p>
    <w:p>
      <w:r>
        <w:rPr>
          <w:b/>
        </w:rPr>
        <w:t>E. 4</w:t>
      </w:r>
    </w:p>
    <w:p>
      <w:r>
        <w:t>Es wird festgestellt, dass zwischen dem Eingang der Beschwerde am 10. Mai 2023 und der Stellung des Ausstandsgesuchs am 31. Oktober 2023 gut 5 ½ Monate vergangen sind, was als übermässig lang erscheint. Am Ausgang des vorliegenden Verfahrens vermag dies allerdings nichts zu ändern.</w:t>
      </w:r>
    </w:p>
    <w:p>
      <w:r>
        <w:rPr>
          <w:b/>
        </w:rPr>
        <w:t>E. 5</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