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KBE.2023.27 vom 7. Dezember 2023</w:t>
      </w:r>
    </w:p>
    <w:p>
      <w:r>
        <w:t>Ag Zivilgericht, 2023-12-07, DE</w:t>
      </w:r>
    </w:p>
    <w:p>
      <w:r>
        <w:rPr>
          <w:b/>
        </w:rPr>
        <w:t xml:space="preserve">Quelle: </w:t>
      </w:r>
      <w:r>
        <w:t>https://mcp.opencaselaw.ch/entscheid/ag_zivilgericht_KBE.2023.27</w:t>
      </w:r>
    </w:p>
    <w:p>
      <w:r>
        <w:t>FR: AG_ZIVILGERICHT KBE.2023.27 du 7 décembre 2023</w:t>
      </w:r>
    </w:p>
    <w:p>
      <w:r>
        <w:t>IT: AG_ZIVILGERICHT KBE.2023.27 del 7 dicembre 2023</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w:t>
      </w:r>
    </w:p>
    <w:p>
      <w:r>
        <w:t>- 3 -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 begründen ihr Ausstandsbegehren damit, dass sie sich aufgrund der beruflichen und persönlichen Beziehung zum Einzelzeich- nungsberechtigten der F._____ AG, G._____, als befangen fühlten. G._____ sei vom […] bis […] als Ersatzrichter am Bezirksgericht T._____ tätig gewesen und habe vom […] bis […] als Bezirksrichter geamtet. Er treffe sich überdies mit verschiedenen Mitarbeitenden des Gerichts in pri- vatem Rahmen. Zu befinden ist somit über den vorgebrachten Ausstandsgrund der Befan- genheit "aus anderen Gründen" gemäss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w:t>
      </w:r>
    </w:p>
    <w:p>
      <w:r>
        <w:t>- 4 - geeignet sind, Misstrauen in die Unparteilichkeit des Richters zu erwecken (BGE 134 I 238 E. 2.1 mit Hinweisen). Solche Umstände können entweder in einer bestimmten persönlichen Einstellung zum Verfahrensgegenstand, in einem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Die E._____ AG macht in ihrer Beschwerde insbesondere geltend, das Be- treibungsamt Q._____ habe zu Unrecht von der Pfändung ihres sich in den Geschäftsräumen an der S-Strasse in T._____ befindenden Geschäftsin- ventars abgesehen, obwohl es sich zum Pfändungsvollzug nötigenfalls mit Hilfe der Polizei Zutritt zu den Geschäftsräumen hätte verschaffen können. Unter anderem diese Unterlassung habe zur Ausstellung des angefochte- nen Verlustscheins geführt. Diese Geschäftsräume hat die E._____ AG seit dem 1. Mai 2015 von der F._____ AG gemietet. Einziges Mitglied des Ver- waltungsrats der F._____ AG, T._____, ist G._____, der am Bezirksgericht F. vom […] bis […] als Ersatzrichter tätig war, vom […] bis […] als Bezirks- richter amtete und sich überdies mit verschiedenen Mitarbeitenden des Ge- richts in privatem Rahmen treffe. Unter diesen Umständen ist der objektive Anschein der Befangenheit aller Gesuchsteller gegeben und das Aus- standsgesuch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zur Übertragung auf das neu zuständige Bezirksgerichtspräsi- dium zuzustellen.</w:t>
      </w:r>
    </w:p>
    <w:p>
      <w:r>
        <w:rPr>
          <w:b/>
        </w:rPr>
        <w:t>E. 4</w:t>
      </w:r>
    </w:p>
    <w:p>
      <w:r>
        <w:t>Es wird festgestellt, dass zwischen dem Eingang der Beschwerde am 29. Dezember 2022 und der Stellung des Ausstandsgesuchs am 31. Okto- ber 2023 gut 10 Monate vergangen sind, was als übermässig lang er- scheint. Am Ausgang des vorliegenden Verfahrens vermag dies allerdings nichts zu ändern.</w:t>
      </w:r>
    </w:p>
    <w:p>
      <w:r>
        <w:rPr>
          <w:b/>
        </w:rPr>
        <w:t>E. 5</w:t>
      </w:r>
    </w:p>
    <w:p>
      <w:r>
        <w:t>Im Verfahren vor der oberen betreibungsrechtlichen Aufsichtsbehörde sind ungeachtet des Ausgangs keine Verfahrenskosten zu erheben und keine</w:t>
      </w:r>
    </w:p>
    <w:p>
      <w:r>
        <w:t>- 5 -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