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KBE.2023.22 vom 18. Januar 2024</w:t>
      </w:r>
    </w:p>
    <w:p>
      <w:r>
        <w:t>Ag Zivilgericht, 2024-01-18, DE</w:t>
      </w:r>
    </w:p>
    <w:p>
      <w:r>
        <w:rPr>
          <w:b/>
        </w:rPr>
        <w:t xml:space="preserve">Quelle: </w:t>
      </w:r>
      <w:r>
        <w:t>https://mcp.opencaselaw.ch/entscheid/ag_zivilgericht_KBE.2023.22</w:t>
      </w:r>
    </w:p>
    <w:p>
      <w:r>
        <w:t>FR: AG_ZIVILGERICHT KBE.2023.22 du 18 janvier 2024</w:t>
      </w:r>
    </w:p>
    <w:p>
      <w:r>
        <w:t>IT: AG_ZIVILGERICHT KBE.2023.22 del 18 gennaio 2024</w:t>
      </w:r>
    </w:p>
    <w:p>
      <w:pPr>
        <w:pStyle w:val="Heading2"/>
      </w:pPr>
      <w:r>
        <w:t>Erwägungen</w:t>
      </w:r>
    </w:p>
    <w:p>
      <w:r>
        <w:rPr>
          <w:b/>
        </w:rPr>
        <w:t>E. 1.1</w:t>
      </w:r>
    </w:p>
    <w:p>
      <w:r>
        <w:t>Die Vorinstanz wies die bei ihr erhobene Beschwerde gegen den der B._____ vom Betreibungsamt Q._____ in der Betreibung Nr. yyy am 1. Juni 2023 für den ungedeckt gebliebenen Betrag von Fr. 20'121.55 ausgestell- ten Verlustschein Nr. xxx ab. Zur Begründung führte sie im Wesentlichen aus, die Beschwerdeführerin rüge mit Beschwerde vom 12. Juni 2023 im Wesentlichen, dass das Ausstellen des fraglichen Verlustscheins nichtig i.S.v. Art. 22 Abs. 1 SchKG sei, da vorgängig keine Pfändung und Verwer- tung stattgefunden habe. Am 2. Dezember 2021 sei jedoch die Pfändung für die Pfändungsgruppe Nr. 1210046, namentlich betreffend die Betrei- bung Nr. yyy, in Anwesenheit des Vizepräsidenten des Verwaltungsrates der Beschwerdeführerin im Büro des Betreibungsamts Q._____ vollzogen worden. Daraufhin sei am 28. Januar 2022 eine Pfändungsurkunde</w:t>
      </w:r>
    </w:p>
    <w:p>
      <w:r>
        <w:t>- 4 - ausgestellt worden. Gemäss Pfändungsprotokoll vom 2. Dezember 2021 habe keinerlei Vermögen gepfändet werden können. Die Gläubigerin habe am 31. Januar 2022 ein erstes und am 25. April 2022 ein zweites Begehren um Verwertung gestellt. Beide Verwertungsbegehren habe das Betrei- bungsamt Q._____ abgewiesen. Die Beschwerdeführerin gehe fehl in der Annahme, dass ohne Verwertung in keinem Fall ein Verlustschein ausge- stellt werden könne und ein solcher allemal nichtig sei. Wenn sich nämlich im Rahmen der Pfändung ergebe, dass kein pfändbares Vermögen vorhan- den sei, bilde zufolge Art. 115 Abs. 1 SchKG die Pfändungsurkunde den Verlustschein i.S.v. Art. 149 SchKG. Weitere Ausführungen zur Nichtigkeit erübrigten sich damit. Auch der Umstand, dass in der Folge ein "tatsächli- cher" Verlustschein nach Art. 149 SchKG ausgestellt worden sei, vermöge daran nichts zu ändern.</w:t>
      </w:r>
    </w:p>
    <w:p>
      <w:r>
        <w:rPr>
          <w:b/>
        </w:rPr>
        <w:t>E. 1.2</w:t>
      </w:r>
    </w:p>
    <w:p>
      <w:r>
        <w:t>Die Beschwerdeführerin hält in der Beschwerde an die Schuldbetreibungs- und Konkurskommission insbesondere an ihrer bereits vor der Vorinstanz geäusserten Auffassung fest, dass der Verlustschein Nr. xxx nichtig sei. Gläubigerin der in Betreibung gesetzten Forderung sei nicht die B._____, sondern die C._____. Somit sei der Verlustschein der an der Betreibung Nr. yyy nicht beteiligten B._____ ausgestellt worden und demzufolge ge- mäss Art. 22 Abs. 1 SchKG nichtig.</w:t>
      </w:r>
    </w:p>
    <w:p>
      <w:r>
        <w:rPr>
          <w:b/>
        </w:rPr>
        <w:t>E. 2.1</w:t>
      </w:r>
    </w:p>
    <w:p>
      <w:r>
        <w:t>Verstossen Verfügungen gegen Vorschriften, die im öffentlichen Interesse oder im Interesse von am Verfahren nicht beteiligten Personen erlassen worden sind, so sind sie nichtig (Art. 22 Abs. 1 SchKG). Nichtig ist insbesondere die Ausstellung eines Verlustscheins, ohne dass eine Pfändung und Verwertung durchgeführt wurde (BGE 125 III 337 E. 3b; FLAVIO COMETTA/URS MÖCKLI, in: Basler Kommentar, Bundesgesetz über Schuldbetreibung und Konkurs I, 3. Aufl. 2021, N. 12 zu Art. 22 SchKG). Die Nichtigkeit ist von den Aufsichtsbehörden jederzeit von Amtes wegen festzustellen (Art. 22 Abs. 1 SchKG). Ob ein Verlustschein nichtig ist, kann auch nach Abschluss des Betreibungsverfahrens noch geprüft werden (Ur- teil des Bundesgerichts 5A_146/2018 vom 5. November 2018 E. 3.1.2).</w:t>
      </w:r>
    </w:p>
    <w:p>
      <w:r>
        <w:rPr>
          <w:b/>
        </w:rPr>
        <w:t>E. 2.2</w:t>
      </w:r>
    </w:p>
    <w:p>
      <w:r>
        <w:t>Aus dem Zahlungsbefehl vom 19. November 2020 (Beschwerdebeilage [BB] 4), dem Rechtsöffnungsentscheid SR.2021.46 der Präsidentin des Zi- vilgerichts des Bezirksgerichts Lenzburg vom 15. Juni 2021 (BB 5), dem Beschwerdeentscheid ZSU.2021.135 des Obergerichts vom 30. August 2021 (BB 7) und der Pfändungsurkunde vom 28. Januar 2022 (vorinstanz- liche Akten, Beilage 2 zum Amtsbericht) geht hervor, dass in der</w:t>
      </w:r>
    </w:p>
    <w:p>
      <w:r>
        <w:t>- 5 - Betreibung Nr. yyy des Betreibungsamts Q._____ die C._____ betreibende Gläubigerin war. Im am 1. Juni 2023 vom Betreibungsamt Q._____ ausge- stellten Verlustschein Nr. xxx ist hingegen die B._____ als Gläubigerin auf- geführt. Bei der C._____ (einem Verein) und der B._____ (einer Stiftung) handelt es sich um unterschiedliche juristische Personen. Wie die Beschwerdefüh- rerin zu Recht vorbringt, wurde in der Betreibung Nr. yyy des Betreibungs- amts Q._____ zugunsten der B._____ weder eine Pfändung vollzogen noch eine Verwertung durchgeführt. Gemäss Art. 149 Abs. 1 SchKG wird ein Pfändungsverlustschein ausgestellt, wenn der betreffende Gläubiger an der Pfändung teilgenommen hat und seine Forderung bei der Verteilung ganz oder teilweise ungedeckt geblieben ist. Die Ausstellung des Verlust- scheins Nr. xxx an die B._____ verstiess daher gegen Art. 149 Abs. 1 SchKG. Nach der in E. 2.1 zitierten Lehre und Rechtsprechung ist der Ver- lustschein Nr. xxx vom 1. Juni 2023 deshalb – entgegen dem vorinstanzli- chen Entscheid – nichtig i.S.v. Art. 22 Abs. 1 SchKG.</w:t>
      </w:r>
    </w:p>
    <w:p>
      <w:r>
        <w:rPr>
          <w:b/>
        </w:rPr>
        <w:t>E. 2.3</w:t>
      </w:r>
    </w:p>
    <w:p>
      <w:r>
        <w:t>Aufgrund der obigen Ausführungen ist in Gutheissung der Beschwerde festzustellen, dass der in der Betreibung Nr. yyy ausgestellte Verlustschein Nr. xxx des Betreibungsamts Q._____ vom 1. Juni 2023 nichtig ist. Dem- zufolge ist der vorinstanzliche Entscheid aufzuheben. Bei diesem Ergebnis erübrigt es sich, auf die weiteren Vorbringen in der Beschwerde einzuge- hen.</w:t>
      </w:r>
    </w:p>
    <w:p>
      <w:r>
        <w:rPr>
          <w:b/>
        </w:rPr>
        <w:t>E. 3</w:t>
      </w:r>
    </w:p>
    <w:p>
      <w:r>
        <w:t>Mit dem vorliegenden Entscheid ist der Antrag der Beschwerdeführerin, der Beschwerde sei die aufschiebende Wirkung zu erteilen, gegenstandslos geworden. Gleiches gilt für das gegen die Präsidentinnen und den Präsi- denten des Bezirksgerichts Lenzburg gerichtete Ausstandsbegehren.</w:t>
      </w:r>
    </w:p>
    <w:p>
      <w:r>
        <w:rPr>
          <w:b/>
        </w:rPr>
        <w:t>E. 4</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