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KBE.2022.2 vom 28. April 2022</w:t>
      </w:r>
    </w:p>
    <w:p>
      <w:r>
        <w:t>Ag Zivilgericht, 2022-04-28, DE</w:t>
      </w:r>
    </w:p>
    <w:p>
      <w:r>
        <w:rPr>
          <w:b/>
        </w:rPr>
        <w:t xml:space="preserve">Quelle: </w:t>
      </w:r>
      <w:r>
        <w:t>https://mcp.opencaselaw.ch/entscheid/ag_zivilgericht_KBE.2022.2</w:t>
      </w:r>
    </w:p>
    <w:p>
      <w:r>
        <w:t>FR: AG_ZIVILGERICHT KBE.2022.2 du 28 avril 2022</w:t>
      </w:r>
    </w:p>
    <w:p>
      <w:r>
        <w:t>IT: AG_ZIVILGERICHT KBE.2022.2 del 28 aprile 2022</w:t>
      </w:r>
    </w:p>
    <w:p>
      <w:pPr>
        <w:pStyle w:val="Heading2"/>
      </w:pPr>
      <w:r>
        <w:t>Erwägungen</w:t>
      </w:r>
    </w:p>
    <w:p>
      <w:r>
        <w:rPr>
          <w:b/>
        </w:rPr>
        <w:t>E. 1.1</w:t>
      </w:r>
    </w:p>
    <w:p>
      <w:r>
        <w:t>Das Betreibungsamt Q. setzte das betreibungsrechtliche Existenzmini- mums des Beschwerdeführers in seiner Berechnung vom 12. August 2021 auf Fr. 2'357.00 fest. Dies wurde dem Beschwerdeführer mit Pfändungsur- kunde vom 28. September 2021 zur Kenntnis gebracht. Die Vorinstanz trat auf die dagegen erhobene Beschwerde vom 17. November 2021 mit Ent- scheid vom 5. Januar 2021 nicht ein, weil diese nach Auffassung der Vo- rinstanz verspätet erfolgte (angefochtener Entscheid E. 1.2).</w:t>
      </w:r>
    </w:p>
    <w:p>
      <w:r>
        <w:rPr>
          <w:b/>
        </w:rPr>
        <w:t>E. 1.2</w:t>
      </w:r>
    </w:p>
    <w:p>
      <w:r>
        <w:t>Mit Beschwerde an die Schuldbetreibungs- und Konkurskommission rügt der Beschwerdeführer im Wesentlichen wie schon vor Vorinstanz die Be- rechnung des betreibungsrechtlichen Existenzminimums durch das Betrei- bungsamt Q.. Dass der Beschwerdeführer die Beschwerdefrist entgegen dem vorinstanzlichen Entscheid eingehalten hätte, macht dieser hingegen nicht geltend. Demgegenüber führt der Beschwerdeführer sinngemäss aus, die vorgegebene Frist von 10 Tagen sei für ihn zu kurz gewesen, um sich</w:t>
      </w:r>
    </w:p>
    <w:p>
      <w:r>
        <w:t>- 4 - zu sortieren und Ratschläge einzuholen, wie man eine Beschwerde einrei- che.</w:t>
      </w:r>
    </w:p>
    <w:p>
      <w:r>
        <w:rPr>
          <w:b/>
        </w:rPr>
        <w:t>E. 2.1</w:t>
      </w:r>
    </w:p>
    <w:p>
      <w:r>
        <w:t>Gemäss Art. 17 Abs. 2 SchKG muss die Beschwerde binnen zehn Tagen seit dem Tage, an welchem der Beschwerdeführer von der Verfügung Kenntnis erhalten hat, angebracht werden. Die Beschwerdefrist ist als ge- setzliche Frist eine Verwirkungsfrist und als solche grundsätzlich nicht erst- reckbar, ausser ein am Verfahren Beteiligter wohnt im Ausland oder ist durch öffentliche Bekanntmachung anzusprechen (Art. 33 Abs. 2 SchKG; vgl. COMETTA/MÖCKLI, in: BSK SchKG I, 3. Aufl. 2021 [BSK SchKG I], N. 50 f. zu Art. 17 SchKG). Sie ist als Prozessvoraussetzung von Amtes wegen zu berücksichtigen. Wegen Rechtsverweigerung oder Rechtsverzö- gerung kann jederzeit Beschwerde geführt werden (Art. 17 Abs. 3 SchKG). Auch bei nichtigen Verfügungen i.S.v. Art. 22 SchKG, welche von Amtes wegen aufzuheben sind, muss die Beschwerdefrist von Art. 17 Abs. 2 SchKG nicht eingehalten werden (COMETTA/MÖCKLI, in: BSK SchKG I, a.a.O., N. 16 zu Art. 22 SchKG, m.w.H.). Daneben kann die Aufsichtsbehörde oder die in der Sache zuständige rich- terliche Behörde um Wiederherstellung der Frist ersucht werden, wenn die Frist durch ein unverschuldetes Hindernis nicht eingehalten werden konnte. Das Gesuch ist innert zehn Tagen ab Wegfall des Hindernisses begründet einzureichen und die versäumte Rechtshandlung bei der zuständigen Be- hörde nachzuholen (Art. 33 Abs. 4 SchKG). Ein Restitutionsgesuch ist nur bei objektiver Unmöglichkeit, höherer Gewalt, unverschuldeter persönlicher Unmöglichkeit oder entschuldbarem Fristversäumnis gutzuheissen. In Frage kommen beispielsweise ein Unfall oder eine schwere plötzliche Er- krankung (NORDMANN/ONEYSER, BSK SchKG I, a.a.O., N. 10 f. zu Art. 33 SchKG, m.w.H.).</w:t>
      </w:r>
    </w:p>
    <w:p>
      <w:r>
        <w:rPr>
          <w:b/>
        </w:rPr>
        <w:t>E. 2.2</w:t>
      </w:r>
    </w:p>
    <w:p>
      <w:r>
        <w:t>Vorliegend wurde die zehntägige Beschwerdefrist von Art. 17 Abs. 2 SchKG unbestrittener Weise nicht eingehalten. Die Beschwerde vom 17. November 2021 erfolgte erst über einen Monat nach der Verfügung des Betreibungsamts Q. vom 28. September 2021. Auch macht der Beschwer- deführer weder geltend noch ist ersichtlich, dass ein Fall von Rechtsver- weigerung oder Rechtsverzögerung oder eine nichtige Verfügung vorliegen würde. Die Vorinstanz ist demnach zu Recht nicht auf die Beschwerde ein- getreten.</w:t>
      </w:r>
    </w:p>
    <w:p>
      <w:r>
        <w:rPr>
          <w:b/>
        </w:rPr>
        <w:t>E. 2.3</w:t>
      </w:r>
    </w:p>
    <w:p>
      <w:r>
        <w:t>Soweit der Beschwerdeführer sinngemäss um Wiederherstellung der Be- schwerdefrist ersucht, so ist auf dieses Gesuch nicht einzutreten, da die</w:t>
      </w:r>
    </w:p>
    <w:p>
      <w:r>
        <w:t>- 5 - Schuldbetreibungs- und Konkurskommission hierfür funktional nicht zu- ständig ist; ein entsprechendes Gesuch hätte bereits bei der Vorinstanz eingereicht werden müssen. Im Übrigen macht der Beschwerdeführer auch nicht substantiiert Gründe geltend, die ihm die Einhaltung der Frist ohne sein Verschulden verunmöglicht hätten, mithin eine Wiederherstellung der Frist erst erlaubt hätten, sodass das Gesuch auch in der Sache abzuweisen wäre.</w:t>
      </w:r>
    </w:p>
    <w:p>
      <w:r>
        <w:rPr>
          <w:b/>
        </w:rPr>
        <w:t>E. 3</w:t>
      </w:r>
    </w:p>
    <w:p>
      <w:r>
        <w:t>Im betreibungsrechtlichen Beschwerde- bzw. Weiterziehungsverfahren (Art. 18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