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AG_ZIVILGERICHT KBE.2022.18 vom 10. August 2022</w:t>
      </w:r>
    </w:p>
    <w:p>
      <w:r>
        <w:t>Ag Zivilgericht, 2022-08-10, DE</w:t>
      </w:r>
    </w:p>
    <w:p>
      <w:r>
        <w:rPr>
          <w:b/>
        </w:rPr>
        <w:t xml:space="preserve">Quelle: </w:t>
      </w:r>
      <w:r>
        <w:t>https://mcp.opencaselaw.ch/entscheid/ag_zivilgericht_KBE.2022.18</w:t>
      </w:r>
    </w:p>
    <w:p>
      <w:r>
        <w:t>FR: AG_ZIVILGERICHT KBE.2022.18 du 10 août 2022</w:t>
      </w:r>
    </w:p>
    <w:p>
      <w:r>
        <w:t>IT: AG_ZIVILGERICHT KBE.2022.18 del 10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17 Abs. 1 SchKG kann mit Ausnahme der Fälle, in denen das Gesetz den Weg der gerichtlichen Klage vorschreibt, gegen jede Verfügung eines Betreibungs- oder Konkursamts bei der Aufsichtsbehörde wegen Ge- setzesverletzung oder Unangemessenheit Beschwerde geführt werden. Der Entscheid einer unteren Aufsichtsbehörde über die Betreibungsämter kann innert zehn Tagen nach der Eröffnung an die obere kantonale Auf- sichtsbehörde über die Betreibungsämter weitergezogen werden (Art. 18 Abs. 1 SchKG).</w:t>
      </w:r>
    </w:p>
    <w:p>
      <w:r>
        <w:rPr>
          <w:b/>
        </w:rPr>
        <w:t>E. 2.1</w:t>
      </w:r>
    </w:p>
    <w:p>
      <w:r>
        <w:t>Die Frage, inwiefern im kantonalen Beschwerdeverfahren Noven zulässig sind, entscheidet sich grundsätzlich nach kantonalem Verfahrensrecht (Art. 20a Abs. 3 SchKG; Urteil des Bundesgerichts 5A_15/2016 vom 14. April 2016 E. 2.4). Für das Verfahren vor der oberen kantonalen Auf- sichtsbehörde über die Betreibungsämter sind im Kanton Aargau die Be- stimmungen des Beschwerdeverfahrens gemäss Art. 319 ff. ZPO sinnge- mäss anwendbar (Art. 20a Abs. 3 SchKG i.V.m. § 22 Abs. 2 EG SchKG). Neue Anträge, neue Tatsachenbehauptungen und neue Beweismittel sind danach im Beschwerdeverfahren ausgeschlossen (Art. 326 Abs. 1 ZPO). Das gilt sowohl für echte als auch für unechte Noven, da die Beschwerde gemäss Art. 18 Abs. 1 SchKG nicht der Fortführung des Verfahrens vor der unteren Aufsichtsbehörde, sondern der Überprüfung des Entscheids der unteren Aufsichtsbehörde auf seine Rechtmässigkeit oder Angemessen- heit dient (vgl. DIETER FREIBURGHAUS/SUSANNE AFHELDT, in: THOMAS SUT- TER-SOMM/FRANZ HASENBÖHLER/CHRISTOPH LEUENBERGER [Hrsg.], Kom- mentar zur Schweizerischen Zivilprozessordnung, 3. Aufl. 2016, N. 3 f. zu</w:t>
      </w:r>
    </w:p>
    <w:p>
      <w:r>
        <w:t>- 4 - Art. 326 ZPO; FLAVIO COMETTA/URS MÖCKLI, in: Basler Kommentar, Bun- desgesetz über Schuldbetreibung und Konkurs, 3. Aufl. 2021, N. 8 zu Art. 18 SchKG). Die Geltung des Untersuchungsgrundsatzes (Art. 20a Abs. 2 Ziff. 2 SchKG; § 22 Abs. 3 EG SchKG) ändert am Novenverbot nichts (Urteil des Bundesgerichts 5A_405/2011 vom 27. September 2011 E. 4.5.3; FREIBURGHAUS/AFHELDT, a.a.O., N. 4 zu Art. 326 ZPO). Noven fal- len nur dann nicht unter das Verbot, wenn erst der vorinstanzliche Ent- scheid Anlass zu ihrem Vorbringen gibt, da die möglichen Beschwerde- gründe bzw. ihre Unterlegung durch Tatsachenbehauptungen und Beweis- mittel vor der oberen kantonalen Aufsichtsbehörde sonst stärker einge- schränkt wären, als es aufgrund von Art. 99 Abs. 1 BGG bei einer späteren Anfechtung des zweitinstanzlichen Beschwerdeentscheids vor Bundesge- richt der Fall wäre (vgl. BGE 139 III 466 E. 3.4; COMETTA/MÖCKLI, a.a.O., N. 9 zu Art. 18 SchKG).</w:t>
      </w:r>
    </w:p>
    <w:p>
      <w:r>
        <w:rPr>
          <w:b/>
        </w:rPr>
        <w:t>E. 2.2</w:t>
      </w:r>
    </w:p>
    <w:p>
      <w:r>
        <w:t>Soweit die Beschwerdeführerin mit der vorliegenden Beschwerde Um- stände geltend macht, die vor Fällung des vorinstanzlichen Entscheids ein- getreten sein sollen, liegt keine Ausnahme analog Art. 99 Abs. 1 BGG vor. Solche unechte Noven sind unzulässig, weil bei ihnen die prozessuale Möglichkeit und die objektive Zumutbarkeit zur Beibringung im vorinstanz- lichen Verfahren bestanden (vgl. JOHANNA DORMANN, in: Basler Kommen- tar, Bundesgerichtsgesetz, 3. Aufl. 2018, N. 40 zu Art. 99 BGG). Die Be- schwerdeführerin hätte Gelegenheit und Anlass gehabt, der Vorinstanz bis zur Fällung des angefochtenen Entscheids darzulegen, weshalb die Betrei- bung Nr. xxx des Betreibungsamts Q. aus ihrer Sicht nicht nichtig sein soll, und Belege dafür einzureichen.</w:t>
      </w:r>
    </w:p>
    <w:p>
      <w:r>
        <w:rPr>
          <w:b/>
        </w:rPr>
        <w:t>E. 2.3</w:t>
      </w:r>
    </w:p>
    <w:p>
      <w:r>
        <w:t>Echte Noven können von vornherein nicht durch den weitergezogenen Ent- scheid veranlasst worden sein und sind daher nach Massgabe von § 22 Abs. 2 EG SchKG i.V.m. Art. 326 Abs. 1 ZPO ebenfalls unzulässig (vgl. DORMANN, a.a.O., N. 43 zu Art. 99 BGG). Soweit sich die Beschwerdefüh- rerin auf Tatsachen und Beweismittel beruft, die sich erst nach Fällung des vorinstanzlichen Entscheids ereigneten oder entstanden, ist sie im vorlie- genden Verfahren somit ebenfalls nicht zu hören.</w:t>
      </w:r>
    </w:p>
    <w:p>
      <w:r>
        <w:rPr>
          <w:b/>
        </w:rPr>
        <w:t>E. 2.4</w:t>
      </w:r>
    </w:p>
    <w:p>
      <w:r>
        <w:t>Durch den vorinstanzlichen Entscheid kausal verursacht oder rechtswe- sentlich und damit analog Art. 99 Abs. 1 BGG zulässig sind hingegen alle Gesichtspunkte tatsächlicher Art, die aufgrund des Umstands, dass die Vorinstanz entscheidet und auf welche Weise sie - formell oder materiell - das Urteil spricht, für die Rechtsverfolgung neu bedeutsam werden. Darun- ter fallen zunächst alle Umstände, die für die Anfechtung des vorinstanzli- chen Entscheids von Bedeutung sind (Eröffnung, Zustellung, Fristwahrung etc.), ausserdem formellrechtliche Mängel des angefochtenen Entscheids,</w:t>
      </w:r>
    </w:p>
    <w:p>
      <w:r>
        <w:t>- 5 - mit denen der Rechtssuchende nicht rechnete und nach einer objektivie- renden, nach Treu und Glauben im Verfahren orientierten Betrachtungs- weise nicht zu rechnen brauchte, und schliesslich der Umstand, dass be- stimmte Sachumstände neu und erstmals durch den angefochtenen Ent- scheid Rechtserheblichkeit gewinnen (vgl. DORMANN, a.a.O., N. 44 zu Art. 99 BGG). Solche Umstände hat die Beschwerdeführerin im vorliegen- den Verfahren nicht dargetan.</w:t>
      </w:r>
    </w:p>
    <w:p>
      <w:r>
        <w:rPr>
          <w:b/>
        </w:rPr>
        <w:t>E. 2.5</w:t>
      </w:r>
    </w:p>
    <w:p>
      <w:r>
        <w:t>Die von der Beschwerdeführerin mit Beschwerde an die Schuldbetrei- bungs- und Konkurskommission erstmals in das Verfahren eingebrachten Tatsachen und Beweismittel sind demnach aus novenrechtlichen Gründen unzulässig.</w:t>
      </w:r>
    </w:p>
    <w:p>
      <w:r>
        <w:rPr>
          <w:b/>
        </w:rPr>
        <w:t>E. 2.6</w:t>
      </w:r>
    </w:p>
    <w:p>
      <w:r>
        <w:t>Gemäss den obigen Ausführungen sind somit sämtliche im zweitinstanzli- chen Beschwerdeverfahren von der Beschwerdeführerin eingebrachten Tatsachen und Beweismittel neu und daher nach § 22 Abs. 2 EG SchKG i.V.m. Art. 326 Abs. 1 ZPO nicht zu berücksichtigen. Die Beschwerde ist deshalb abzuweisen.</w:t>
      </w:r>
    </w:p>
    <w:p>
      <w:r>
        <w:rPr>
          <w:b/>
        </w:rPr>
        <w:t>E. 3</w:t>
      </w:r>
    </w:p>
    <w:p>
      <w:r>
        <w:t>Mit dem vorliegenden Entscheid ist der Antrag, der Beschwerde sei die auf- schiebende Wirkung zu erteilen, gegenstandslos geworden.</w:t>
      </w:r>
    </w:p>
    <w:p>
      <w:r>
        <w:rPr>
          <w:b/>
        </w:rPr>
        <w:t>E. 4</w:t>
      </w:r>
    </w:p>
    <w:p>
      <w:r>
        <w:t>Im Beschwerde- bzw. Weiterziehungsverfahren vor der oberen kantonalen Aufsichtsbehörde (Art. 18 SchKG) sind ungeachtet des Ausgangs keine Verfahrenskosten zu erheben und keine Parteientschädigungen zuzuspre- chen (Art. 20a Abs. 2 Ziff. 5 SchKG i.V.m. Art. 61 Abs. 2 lit. a und Art. 62 Abs. 2 GebV SchKG). Die Schuldbetreibungs- und Konkurskommission entscheidet: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