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AGVE_2002_7 vom 31. Juli 2002</w:t>
      </w:r>
    </w:p>
    <w:p>
      <w:r>
        <w:t>Ag Zivilgericht, 2002-07-31, DE</w:t>
      </w:r>
    </w:p>
    <w:p>
      <w:r>
        <w:rPr>
          <w:b/>
        </w:rPr>
        <w:t xml:space="preserve">Quelle: </w:t>
      </w:r>
      <w:r>
        <w:t>https://mcp.opencaselaw.ch/entscheid/ag_zivilgericht_AGVE_2002_7</w:t>
      </w:r>
    </w:p>
    <w:p>
      <w:r>
        <w:t>FR: AG_ZIVILGERICHT AGVE_2002_7 du 31 juillet 2002</w:t>
      </w:r>
    </w:p>
    <w:p>
      <w:r>
        <w:t>IT: AG_ZIVILGERICHT AGVE_2002_7 del 31 luglio 2002</w:t>
      </w:r>
    </w:p>
    <w:p>
      <w:pPr>
        <w:pStyle w:val="Heading2"/>
      </w:pPr>
      <w:r>
        <w:t>Regeste</w:t>
      </w:r>
    </w:p>
    <w:p>
      <w:r>
        <w:t>Art.80ff.SchKG. Von der Vormundschaftsbehörde genehmigte Unterhaltsverträge als Rechtsöffnungstitel. Anders als im Falle richterlich genehmigter Unterhaltsverträge kann gestützt auf von der Vormundschaftsbehörde genehmigte Unterhaltsverträge nicht definitive, sondern bloss provisorische Rechtsöffnung erteilt werden.</w:t>
      </w:r>
    </w:p>
    <w:p>
      <w:pPr>
        <w:pStyle w:val="Heading2"/>
      </w:pPr>
      <w:r>
        <w:t>Volltext</w:t>
      </w:r>
    </w:p>
    <w:p>
      <w:r>
        <w:t>2002 Schuldbetreibungs- und Konkursrecht 49 II. Schuldbetreibungs- und Konkursrecht 7 Art. 80 ff. SchKG. Von der Vormundschaftsbehörde genehmigte Unterhaltsverträge als Rechtsöffnungstitel. Anders als im Falle richterlich genehmigter Unter- haltsverträge kann gestützt auf von der Vormundschaftsbehörde geneh- migte Unterhaltsverträge nicht definitive, sondern bloss provisorische Rechtsöffnung erteilt werden. Aus dem Entscheid des Obergerichts, 4. Zivilkammer, vom 31. Juli 2002 in Sachen E. A. gegen R. B. Aus den Erwägungen 1. a) Die Klägerin hat in ihrem Rechtsöffnungsbegehren bean- tragt es sei ihr für die in Betreibung gesetzte Forderung provisorische Rechtsöffnung zu gewähren. Sie stützt ihr Rechtsöffnungsbegehren auf einen von der zuständigen Vormundschaftsbehörde genehmigten Unterhaltsvertrag. Da der Richter jedoch das Recht von Amtes we- gen anzuwenden hat, hat er unabhängig eines allfälligen entsprechen- den Antrags darüber zu befinden, ob definitive oder provisorische Rechtsöffnung zu gewähren ist (Daniel Staehelin, Kommentar zum Bundesgesetz über Schuldbetreibung und Konkurs, Basel/Genf/Mün- chen 1998, N 38 zu Art. 84 SchKG). b) Lehre und Praxis sind in ihren Meinungen geteilt, ob für vor- mundschaftsbehördlich genehmigte Unterhaltsverträge definitive oder provisorische Rechtsöffnung zu erteilen sei. Daniel Staehelin führt im genannten Kommentar dazu aus, sie berechtigten dann zur definitiven Rechtsöffnung, wenn sie gerichtlich genehmigt worden seien, jedoch nur zur provisorischen, wenn sie lediglich von der Vor- mundschaftsbehörde genehmigt worden seien, da diese keine gericht- liche Instanz sei (a.a.O., N 24 zu Art. 80 SchKG). Er zitiert darin</w:t>
      </w:r>
    </w:p>
    <w:p>
      <w:r>
        <w:t>50 Obergericht / Handelsgericht 2002 auch die gleichlautende Rechtsprechung in den Kantonen Thurgau, Graubünden, St. Gallen und Genf. In einem ausführlichen Entscheid hat sich auch der Einzelrichter im summarischen Verfahren des Be- zirksgerichts Zürich für die Erteilung der bloss provisorischen Rechtsöffnung ausgesprochen (SJZ 95 [1999] S. 98 ff.). Er weist da- rin auf den Wortlaut von Art. 80 SchKG hin, welcher diesen Sachver- halt nicht erfasse. Zudem erachtet er es als angemessen, dass gegen einen die Rechtsöffnung gewährenden Entscheid die Aberken- nungsklage offen stehe, da es für den Schuldner beispielsweise schwer sei, bei einer nachträglichen Bestreitung der Vaterschaft den Urkundenbeweis erbringen zu können. Es wäre unbefriedigend, wenn er - bei Gewährung der definitiven Rechtsöffnung - diesbezüg- lich oder betreffend Willensmängel oder Schulderlass auf die Aufhe- bungsklage bzw. die negative Feststellungsklage gemäss Art. 85 resp. 85a SchKG zu verweisen wäre. Schliesslich sprächen auch prak- tische Gründe gegen die Erteilung definitiver Rechtsöffnung: Vie- lerorts würden den Genehmigungsentscheiden keine Rechtsmit- telbelehrungen angefügt und zudem müsste der Nachweis der Voll- streckbarkeit mittels Rechtskraftbescheinigung erbracht werden. In der Praxis werde dem Richter jedoch meist nur ein unterzeichneter Unterhaltsvertrag mit einem Genehmigungsvermerk vorgelegt. Die gegenteilige Auffassung, dass definitive Rechtsöffnung zu gewähren sei, vertreten Hegnauer (Berner Kommentar, Bern 1997, N 48 zu Art. 289 ZGB) und Stettler (Schweizerisches Privatrecht, Band III/2, Basel/Frankfurt am Main 1992, S. 372 ff.). Hegnauer er- achtet dies aufgrund der bundesrechtlichen Gleichstellungsbestim- mung von Art. 287 Abs. 1 und 3 ZGB und des Haager Unterhalts- vollstreckungsübereinkommens von 1973 als zwingend. Für Stettler ist wesentlich, dass die Genehmigungspflicht für Unterhaltsverträge mehr als eine Formvorschrift bedeute. Die Unterhaltsverträge bilde- ten eine echte Alternative zur Unterhaltsklage und entsprächen inso- fern einem Urteil. Halte man sich die Anforderungen an die Geneh- migung vor Augen, erscheine es als fragwürdig, den Rechtsweg der Aberkennungsklage einem Schuldner zu eröffnen, der sich auf die Vereinbarung eingelassen habe, um einer Unterhaltsklage zu entge- hen. Die Vormundschaftsbehörde genehmige die Verträge erst nach</w:t>
      </w:r>
    </w:p>
    <w:p>
      <w:r>
        <w:t>2002 Schuldbetreibungs- und Konkursrecht 51 einer Prüfung ihrer Angemessenheit. Im Übrigen könnte das Fehlen eines Kindsverhältnisses durchaus als Einrede im Sinne von Art. 81 Abs. 1 SchKG geltend gemacht werden. Bezüglich der Anfechtung der Beitragshöhe sei entscheidend, dass der Unterhaltspflichtige mit der Einwilligung in den Vertrag darauf verzichte, den Beitrag ge- richtlich festsetzen zu lassen. Daher solle er ebenso wie das Kind die vereinbarten Beiträge nur unter der Voraussetzung veränderter Ver- hältnisse wieder in Frage stellen können. Wenn schliesslich gerichtli- che, nicht aber vormundschaftlich genehmigte Unterhaltsverträge als definitive Rechtsöffnungstitel anerkannt würden, ergäbe dies eine nicht gerechtfertigte Ungleichbehandlung, da Art. 287 ZGB die bei- den Genehmigungen einander gleichstelle. Den erstgenannten Auffassungen ist zu folgen. Die von der Vor- mundschaftsbehörde genehmigten Unterhaltsverträge werden vom Wortlaut von Art. 80 Abs. 2 SchKG nicht erfasst. Den gerichtlichen Urteilen sind lediglich gerichtliche Vergleiche und Schuldanerken- nungen, auf Geldzahlung oder Sicherheitsleistungen gerichtete Ver- fügungen und Entscheide von Verwaltungsbehörden des Bundes und innerhalb des Kantonsgebiets Verfügungen und Entscheide kantona- ler Verwaltungsbehörden über öffentlich-rechtliche Verpflichtungen, soweit das kantonale Recht die Gleichstellung vorsieht, gleichge- stellt, obschon die Problematik bei der kürzlich erfolgten Revision des SchKG bekannt war. Es geht deshalb nicht an, gegen den klaren Wortlaut des Gesetzes vormundschaftlich genehmigte Unterhaltsver- träge gerichtlichen Urteilen gleichzustellen und als definitive Rechts- öffnungstitel zu behandeln. Im Unterschied zu den Gerichten und den im Gesetz genannten Behörden, deren Verfügungen und Ent- scheide gerichtlichen Urteilen gleichgestellt werden, kommt der Vor- mundschaftsbehörde bei der Genehmigung der Unterhaltsverträge keine materielle Entscheidungsbefugnis zu. Die Genehmigung soll lediglich nachteilige Regelungen zu Lasten des Kindes verhindern. Gestützt auf solche vormundschaftlich genehmigten Unterhaltsver- träge ist deshalb bloss provisorische Rechtsöffnung zu erteilen (so auch Peter Stücheli, Die Rechtsöffnung, Zürich 2000, S. 259 f.). c) Für die in Betreibung gesetzte Forderung liegt somit ein vor- mundschaftlich genehmigter Unterhaltsvertrag zugrunde, der einen</w:t>
      </w:r>
    </w:p>
    <w:p>
      <w:r>
        <w:t>52 Obergericht / Handelsgericht 2002 gültigen provisorischen Rechtsöffnungstitel bildet (Art. 82 Abs. 1 SchKG). 8 Art. 80 SchKG. Rechtsöffnung in der Betreibung auf Grundpfandverwertung. In der Be- treibung auf Grundpfandverwertung kann Rechtsöffnung auch nur für die Forderung oder das Pfandrecht gewährt werden. Dies hat lediglich zur Folge, dass der Gläubiger die Fortsetzung nicht verlangen kann, bis sämtliche Rechtsvorschläge beseitigt sind. Ein rechtsgenügender Rechtsöffnungstitel liegt nur vor, wenn eine das ge- setzliche Pfandrecht feststellende Verfügung vom Pfandeigentümer aner- kannt oder erfolglos angefochten wurde. Aus dem Entscheid des Obergerichts, 4. Zivilkammer, vom 31. Juli 2002 in Sachen A. G. gegen A. SA. Aus den Erwägungen 4. a) Die Klägerin hat Betreibung auf Grundpfandverwertung eingeleitet, Rechtsöffnung jedoch nur für die Forderung, nicht aber für das Pfandrecht verlangt. Während sich nach der früheren Rechts- lage ein nicht weiter begründeter Rechtsvorschlag lediglich auf die Forderung bezog, wird nach der am 5. Juni 1996 revidierten Fassung von Art. 85 VZG, in Kraft seit 1. Januar 1997, angenommen, der Rechtsvorschlag beziehe sich auf die Forderung und auf das Pfand- recht, wenn nichts anderes vermerkt ist. Will die Klägerin die Betrei- bung fortsetzen, so muss sie den Rechtsvorschlag nicht nur für die Forderung, sondern auch bezüglich des Pfandrechts beseitigen las- sen. Die Vorinstanz hat Rechtsöffnung für Forderung und Pfandrecht gewährt, wiewohl das Begehren der Klägerin lediglich auf Beseiti- gung des Rechtsvorschlags für die Forderung ging. Damit aber ist der Klägerin mehr zugesprochen worden als sie verlangt hat, was mit der Dispositionsmaxime (§ 75 Abs. 2 ZPO) nicht vereinbar ist. b) In der Literatur wird die Auffassung vertreten, aus Gründen der Praktikabilität sei die Rechtsöffnung nur immer für die Forde-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