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wpr.2025.20 vom 27. Februar 2025</w:t>
      </w:r>
    </w:p>
    <w:p>
      <w:r>
        <w:t>AG Verwaltungsgericht, 2025-02-27, DE</w:t>
      </w:r>
    </w:p>
    <w:p>
      <w:r>
        <w:rPr>
          <w:b/>
        </w:rPr>
        <w:t xml:space="preserve">Quelle: </w:t>
      </w:r>
      <w:r>
        <w:t>https://mcp.opencaselaw.ch/entscheid/ag_verwaltungsgericht_wpr.2025.20</w:t>
      </w:r>
    </w:p>
    <w:p>
      <w:r>
        <w:t>FR: AG_VERWALTUNGSGERICHT wpr.2025.20 du 27 février 2025</w:t>
      </w:r>
    </w:p>
    <w:p>
      <w:r>
        <w:t>IT: AG_VERWALTUNGSGERICHT wpr.2025.20 del 27 febbraio 2025</w:t>
      </w:r>
    </w:p>
    <w:p>
      <w:pPr>
        <w:pStyle w:val="Heading2"/>
      </w:pPr>
      <w:r>
        <w:t>Erwägungen</w:t>
      </w:r>
    </w:p>
    <w:p>
      <w:r>
        <w:rPr>
          <w:b/>
        </w:rPr>
        <w:t>E. 2</w:t>
      </w:r>
    </w:p>
    <w:p>
      <w:r>
        <w:t>Die Haft begann am 26. Februar 2025 13.21 Uhr. Sie wird in Anwendung von Art. 76 AIG für 30 Tage bis zum 27. März 2025,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MIKA eröffnete dem Gesuchsgegner am 26. Februar 2025 eine Wegweisungsverfügung (MI-act. 23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Die Haft wird im Zentrum für ausländerrechtliche Administrativhaft Zürich (ZAA) oder im Gefängnis Bässlergut Basel vollzogen. Soweit für die</w:t>
      </w:r>
    </w:p>
    <w:p>
      <w:r>
        <w:t>- 3 - Befragung oder die Durchführung einer Haftverhandlung zwingend, erfolgt die Inhaftierung für die notwendige Dauer im Zentralgefängnis Lenzburg. C. Anlässlich der heutigen Verhandlung vor dem Einzelrichter des Verwaltungsgerichts wurden der Gesuchsteller und der Gesuchsgegner befragt. D. Der Gesuchsteller beantragte die Bestätigung der Haftanordnung (Protokoll S. 3, act. 31).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26. Februar 2025, 13.21 Uhr, aus der polizeilich motivierten Haft entlassen und dem MIKA zugeführt. Die mündliche Verhandlung begann am 27. Februar 2025, 14.30 Uhr; das Urteil wurde um 14.55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sowie § 89 der Verordnung über den Vollzug von Strafen und Massnahmen vom 23. September 2020 (Strafvollzugsverord- nung, SMV; SAR 253.112) das MIKA. Im vorliegenden Fall wurde die</w:t>
      </w:r>
    </w:p>
    <w:p>
      <w:r>
        <w:t>- 4 -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w:t>
      </w:r>
    </w:p>
    <w:p>
      <w:r>
        <w:t>- 5 -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BOLZL/CONSTANTIN HRUSCHKA/FANNY DE WECK [Hrsg.], Kommentar Migrationsrecht, 5. Aufl., Zürich 2019, N. 7 zu Art. 76 AIG JANINE SERT, in: MARTINA CARONI/DANIELA THURNHERR [Hrsg.], Stämpflis Handkommentar zum Ausländer- und Integrationsgesetz [AIG], 2. Aufl., Bern 2024, N. 17 zu Art. 76).</w:t>
      </w:r>
    </w:p>
    <w:p>
      <w:r>
        <w:rPr>
          <w:b/>
        </w:rPr>
        <w:t>E. 3.2</w:t>
      </w:r>
    </w:p>
    <w:p>
      <w:r>
        <w:t>Der Gesuchsgegner hat sich mit seiner gefälschten italienischen Identitätskarte rechtswidrig als Arbeitnehmer angemeldet, hier gearbeitet und sich anlässlich einer Personenkontrolle am 25. Februar 2025 mit der gefälschten italienischen Identitätskarte ausgewiesen (MI-act. 13 ff.). Wer sich so verhält und insbesondere eine falsche Identität oder einen gefälschten Ausweis verwendet, bietet gemäss ständiger Praxis des Verwaltungsgerichts keine Gewähr für eine selbständige Ausreise (vgl. Entscheid des Verwaltungsgerichts WPR.2023.21 vom 15. März 2023, Erw. 3.2 mit Verweis auf WPR.2016.49 vom 21. März 2016, Erw. 3.2), womit der Haftgrund von Art. 76 Abs. 1 lit. b Ziff. 3 und 4 AIG erfüllt ist.</w:t>
      </w:r>
    </w:p>
    <w:p>
      <w:r>
        <w:rPr>
          <w:b/>
        </w:rPr>
        <w:t>E. 4</w:t>
      </w:r>
    </w:p>
    <w:p>
      <w:r>
        <w:t>Bezüglich der Haftbedingungen liegen keine Beanstandungen vor (Protokoll S. 3, act. 31).</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30 Tage an. Dies ist nicht zu beanstanden.</w:t>
      </w:r>
    </w:p>
    <w:p>
      <w:r>
        <w:rPr>
          <w:b/>
        </w:rPr>
        <w:t>E. 7</w:t>
      </w:r>
    </w:p>
    <w:p>
      <w:r>
        <w:t>Abschliessend stellt sich die Frage, ob die Haftanordnung deshalb nicht zu bestätigen sei, weil sie im konkreten Fall gegen das Prinzip der Verhältnismässigkeit verstossen würde. Eine mildere Massnahme zur</w:t>
      </w:r>
    </w:p>
    <w:p>
      <w:r>
        <w:t>- 6 - Sicherstellung des Vollzugs der Wegweisung ist nicht ersichtlich.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Gemäss § 28 Abs. 1 EGAR ist das Verfahren betreffend Haftüberprüfung unentgeltlich. Demgemäss werden keine Kosten erhoben.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