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WPR.2026.9 vom 29. Januar 2026</w:t>
      </w:r>
    </w:p>
    <w:p>
      <w:r>
        <w:t>AG Verwaltungsgericht, 2026-01-29, DE</w:t>
      </w:r>
    </w:p>
    <w:p>
      <w:r>
        <w:rPr>
          <w:b/>
        </w:rPr>
        <w:t xml:space="preserve">Quelle: </w:t>
      </w:r>
      <w:r>
        <w:t>https://mcp.opencaselaw.ch/entscheid/ag_verwaltungsgericht_WPR.2026.9</w:t>
      </w:r>
    </w:p>
    <w:p>
      <w:r>
        <w:t>FR: AG_VERWALTUNGSGERICHT WPR.2026.9 du 29 janvier 2026</w:t>
      </w:r>
    </w:p>
    <w:p>
      <w:r>
        <w:t>IT: AG_VERWALTUNGSGERICHT WPR.2026.9 del 29 gennaio 2026</w:t>
      </w:r>
    </w:p>
    <w:p>
      <w:pPr>
        <w:pStyle w:val="Heading2"/>
      </w:pPr>
      <w:r>
        <w:t>Erwägungen</w:t>
      </w:r>
    </w:p>
    <w:p>
      <w:r>
        <w:rPr>
          <w:b/>
        </w:rPr>
        <w:t>E. 2</w:t>
      </w:r>
    </w:p>
    <w:p>
      <w:r>
        <w:t>Die Haft begann am 26. Januar 2026, 09:30 Uhr. Sie wird in Anwendung von Art. 76 AIG für drei Monate bis zum 25. April 2026,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8. Oktober 2025 lehnte das SEM das Asylgesuch des Gesuchsgegners ab und wies ihn aus der Schweiz weg (MI-act. 10 ff.). Auf die dagegen erhobene Beschwerde trat das Bundesverwaltungsgericht mit Urteil vom 4. Dezember 2025 infolge Nichtleistung des Kostenvorschusses nicht ein (MI-act. 27 ff.), womit der Wegweisungsentscheid des SEM in Rechtskraft erwachsen ist. Damit liegt ein rechtsgenüglicher Wegwei- 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ein Pass vorliegt.</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39). Der Gesuchsgegner liess folgende Anträge stellen (Protokoll S. 4, act. 39):</w:t>
      </w:r>
    </w:p>
    <w:p>
      <w:r>
        <w:t>- 3 - 1. Die angeordnete Ausschaffungshaft sei nicht zu bestätigen. Der Gesuchs- gegner sei aus der Haft zu entlassen. 2. Unter Kosten- und Entschädigungsfolgen zzgl. MwST.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26. Januar 2026, 09.30 Uhr, angehalten. Die mündliche Verhandlung begann am 29. Januar 2026, 09.33 Uhr; das Urteil wurde um 10.00 Uhr eröffnet. Die richterliche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w:t>
      </w:r>
    </w:p>
    <w:p>
      <w:r>
        <w:t>- 4 - 2.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w:t>
      </w:r>
    </w:p>
    <w:p>
      <w:r>
        <w:t>- 5 -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Der Gesuchsgegner äusserte sich mehrfach anlässlich von Ausreise und Rückkehrberatungsgesprächen am 16. und 26. Januar 2026 gegenüber dem MIKA, dass er nicht freiwillig nach Äthiopien zurückkehren werde. Auch anlässlich der Befragung zur Gewährung des rechtlichen Gehörs vom 26. Januar 2026, erklärte sich der Gesuchsgegner nicht zur freiwilligen Rückreise in sein Heimatland bereit. Anlässlich der heutigen Verhandlung erklärte der Gesuchsgegner zwar, er sei nun bereit, in sein Heimatland zurückzukehren. Diese Beteuerung erfolgte jedoch nur zögerlich und auch nicht vorbehaltlos. Vielmehr gab der Gesuchsgegner zu Protokoll, er wolle eigentlich lieber aus der Haft entlassen werden, um in Freiheit ein weiteres Gesuch zu stellen. Zudem erklärte er, er habe nach wie vor Angst, nach Äthiopien zurückzukehren. Unter diesen Umständen ist die anlässlich der heutigen Verhandlung geäusserte Bereitschaft zur freiwilligen Rückkehr nach Äthiopien als Schutzbehauptung zu werten, um der drohenden Ausschaffungshaft zu entgehen. Der Gesuchsgegner bietet nach Auffassung des Gerichts keine Gewähr zur freiwilligen Ausreise, womit der Haftgrund von Art. 76 Abs. 1 lit. b Ziff. 3 und 4 AIG erfüllt ist.</w:t>
      </w:r>
    </w:p>
    <w:p>
      <w:r>
        <w:rPr>
          <w:b/>
        </w:rPr>
        <w:t>E. 4</w:t>
      </w:r>
    </w:p>
    <w:p>
      <w:r>
        <w:t>Bezüglich der Haftbedingungen liegen keine Beanstandungen vor (Protokoll S. 3, act. 38).</w:t>
      </w:r>
    </w:p>
    <w:p>
      <w:r>
        <w:rPr>
          <w:b/>
        </w:rPr>
        <w:t>E. 5</w:t>
      </w:r>
    </w:p>
    <w:p>
      <w:r>
        <w:t>Es liegen auch keine Anzeichen dafür vor, dass das MIKA dem Beschleu- nigungsgebot (Art. 76 Abs. 4 AIG) nicht ausreichend Beachtung geschenkt hätte.</w:t>
      </w:r>
    </w:p>
    <w:p>
      <w:r>
        <w:t>- 6 -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Sicherstellung des Vollzugs der Wegweisung ist angesichts der bestehenden Untertauchensgefahr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Verfahren WPR.2026.9 einzureichen. IV. 1. Der Gesuchsgegner wird darauf hingewiesen, dass ein Haftentlas- 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w:t>
      </w:r>
    </w:p>
    <w:p>
      <w:r>
        <w:t>- 7 -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 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