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WPR.2026.8 vom 28. Januar 2026</w:t>
      </w:r>
    </w:p>
    <w:p>
      <w:r>
        <w:t>AG Verwaltungsgericht, 2026-01-28, DE</w:t>
      </w:r>
    </w:p>
    <w:p>
      <w:r>
        <w:rPr>
          <w:b/>
        </w:rPr>
        <w:t xml:space="preserve">Quelle: </w:t>
      </w:r>
      <w:r>
        <w:t>https://mcp.opencaselaw.ch/entscheid/ag_verwaltungsgericht_WPR.2026.8</w:t>
      </w:r>
    </w:p>
    <w:p>
      <w:r>
        <w:t>FR: AG_VERWALTUNGSGERICHT WPR.2026.8 du 28 janvier 2026</w:t>
      </w:r>
    </w:p>
    <w:p>
      <w:r>
        <w:t>IT: AG_VERWALTUNGSGERICHT WPR.2026.8 del 28 gennaio 2026</w:t>
      </w:r>
    </w:p>
    <w:p>
      <w:pPr>
        <w:pStyle w:val="Heading2"/>
      </w:pPr>
      <w:r>
        <w:t>Erwägungen</w:t>
      </w:r>
    </w:p>
    <w:p>
      <w:r>
        <w:rPr>
          <w:b/>
        </w:rPr>
        <w:t>E. 2</w:t>
      </w:r>
    </w:p>
    <w:p>
      <w:r>
        <w:t>Die Haft begann am 26. Januar 2026, 09.30 Uhr. Sie wird in Anwendung von Art. 76 AIG für drei Monate bis zum 25. April 2026, 12.00 Uhr, ange- 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Mit Entscheid vom 3. Juli 2024 lehnte das SEM das Asylgesuch des Gesuchsgegners ab und wies ihn aus der Schweiz weg (MI-act. 7 ff.). Die dagegen erhobene Beschwerde wies das Bundesverwaltungsgericht mit Urteil vom 22. Juli 2024 ab (MI-act. 17 ff.), womit der Wegweisungsent- scheid des SEM in Rechtskraft erwachsen ist. Damit liegt ein rechtsge- nüglicher Wegweisungsentscheid vor.</w:t>
      </w:r>
    </w:p>
    <w:p>
      <w:r>
        <w:t>- 5 -</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3.</w:t>
      </w:r>
    </w:p>
    <w:p>
      <w:r>
        <w:rPr>
          <w:b/>
        </w:rPr>
        <w:t>E. 3</w:t>
      </w:r>
    </w:p>
    <w:p>
      <w:r>
        <w:t>Die Verfahrens- und Vollzugskosten seien auf die Staatskasse zu nehmen.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w:t>
      </w:r>
    </w:p>
    <w:p>
      <w:r>
        <w:rPr>
          <w:b/>
        </w:rPr>
        <w:t>E. 3.2</w:t>
      </w:r>
    </w:p>
    <w:p>
      <w:r>
        <w:t>Der Gesuchsgegner äusserte sich mehrfach anlässlich der Ausreise- gespräche und dem rechtlichen Gehör am 17. September 2024 bzw.</w:t>
      </w:r>
    </w:p>
    <w:p>
      <w:r>
        <w:t>- 6 - 26. Januar 2026 gegenüber dem MIKA, dass er nicht bereit sei, freiwillig in den Senegal zurückzukehren. Auch anlässlich der heutigen Verhandlung gab der Gesuchgegner auf Nachfrage des Vorsitzenden zu Protokoll, er könne nicht zurück in sein Heimatland (Protokoll S. 3, act. 42). Die Vorbringen des Vertreters des Gesuchsgegners, es seien auch das weitere Verhalten des Gesuchsgegners zu würdigen, treffen zwar zu (act. 49). Richtig ist, dass sich der Gesuchsgegner stets an behördliche Anordnungen gehalten und den Vorladungen in der Vergangenheit Folge geleistet hat. Auch kann den Akten entnommen werden, dass der Gesuchsgegner selbstständig am konsularischen Ausreisegespräch teil- nahm. Dennoch weigerte und weigert sich der Gesuchsgegner beständig und nachdrücklich, die Schweiz zu verlassen und in sein Heimatland zurückzukehren. In der stetigen Weigerung, seiner Ausreisepflicht nachzukommen ist ein klares Anzeichen zu erkennen, dass sich der Gesuchsgegner der Ausschaffung entziehen will, daran vermag auch seine in der Vergangenheit gezeigte Kooperation nichts zu ändern. Der Gesuchsgegner bietet nach Auffassung des Gerichts keine Gewähr zur freiwilligen Ausreise, womit der Haftgrund von Art. 76 Abs. 1 lit. b Ziff. 3 und</w:t>
      </w:r>
    </w:p>
    <w:p>
      <w:r>
        <w:rPr>
          <w:b/>
        </w:rPr>
        <w:t>E. 4</w:t>
      </w:r>
    </w:p>
    <w:p>
      <w:r>
        <w:t>Bezüglich der Haftbedingungen liegen keine Beanstandungen vor (Protokoll S. 3, act. 42).</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nachdem sich der Gesuchsgegner beharrlich weigert, auszureisen. Bezüglich der familiären Verhältnisse ergeben sich keine Anhaltspunkte, welche gegen</w:t>
      </w:r>
    </w:p>
    <w:p>
      <w:r>
        <w:t>- 7 -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im Verfahren WPR.2026.8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- 8 -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