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WPR.2026.6 vom 21. Januar 2026</w:t>
      </w:r>
    </w:p>
    <w:p>
      <w:r>
        <w:t>AG Verwaltungsgericht, 2026-01-21, DE</w:t>
      </w:r>
    </w:p>
    <w:p>
      <w:r>
        <w:rPr>
          <w:b/>
        </w:rPr>
        <w:t xml:space="preserve">Quelle: </w:t>
      </w:r>
      <w:r>
        <w:t>https://mcp.opencaselaw.ch/entscheid/ag_verwaltungsgericht_WPR.2026.6</w:t>
      </w:r>
    </w:p>
    <w:p>
      <w:r>
        <w:t>FR: AG_VERWALTUNGSGERICHT WPR.2026.6 du 21 janvier 2026</w:t>
      </w:r>
    </w:p>
    <w:p>
      <w:r>
        <w:t>IT: AG_VERWALTUNGSGERICHT WPR.2026.6 del 21 gennaio 2026</w:t>
      </w:r>
    </w:p>
    <w:p>
      <w:pPr>
        <w:pStyle w:val="Heading2"/>
      </w:pPr>
      <w:r>
        <w:t>Erwägungen</w:t>
      </w:r>
    </w:p>
    <w:p>
      <w:r>
        <w:rPr>
          <w:b/>
        </w:rPr>
        <w:t>E. 2</w:t>
      </w:r>
    </w:p>
    <w:p>
      <w:r>
        <w:t>Die Haft begann am 20. Januar 2026, 09.00 Uhr. Sie wird in Anwendung von Art. 76 AIG für drei Monate bis zum 19. April 2026, 12.00 Uhr, ange- ordnet.</w:t>
      </w:r>
    </w:p>
    <w:p>
      <w:r>
        <w:rPr>
          <w:b/>
        </w:rPr>
        <w:t>E. 2.1</w:t>
      </w:r>
    </w:p>
    <w:p>
      <w:r>
        <w:t>Das MIKA begründet seine Haftanordnung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29. Juli 2025 wies das MIKA den Gesuchsgegner aus der Schweiz weg und ordnete an, er habe die Schweiz und den Schengen- Raum sieben Tage nach Zustellung der Verfügung zu verlassen (MI- act. 60 ff.). Diese Verfügung erwuchs am 30. August 2025 unangefochten in Rechtskraft (act. 2). Anlässlich der Befragung zur Gewährung des recht- lichen Gehörs gab der Gesuchsgegner an, die Schweiz seither nicht ver- lassen zu haben (MI-act. 161). Demnach liegt ein rechtsgenüglicher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w:t>
      </w:r>
    </w:p>
    <w:p>
      <w:r>
        <w:rPr>
          <w:b/>
        </w:rPr>
        <w:t>E. 3</w:t>
      </w:r>
    </w:p>
    <w:p>
      <w:r>
        <w:t>Die Haft wird im Zentrum für ausländerrechtliche Administrativhaft Zürich (ZAA) oder im Gefängnis Bässlergut Basel vollzogen. Soweit für die Befra- gung oder die Durchführung einer Haftverhandlung zwingend, erfolgt die Inhaftierung für die notwendige Dauer im Bezirksgefängnis Aarau. C. Anlässlich der heutigen Verhandlung vor dem Einzelrichter des Verwal- tungsgerichts wurden der Gesuchsteller und der Gesuchsgegner befragt. D. Der Gesuchsteller beantragte die Bestätigung der Haftanordnung (Proto- koll S. 5, act. 31). Der Gesuchsgegner liess folgenden Antrag stellen (Protokoll S. 5, act. 31):</w:t>
      </w:r>
    </w:p>
    <w:p>
      <w:r>
        <w:t>- 4 - 1. Die mit Verfügung vom 20.01.2026 des Amts für Migration und Integration (MIKA) angeordnete Ausschaffungshaft nach Art. 76 AIG für drei Monate sei nicht zu bestätigen.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am 20. Januar 2026, 09.00 Uhr, angehalten. Die mündliche Verhandlung begann am 21. Januar 2026, 11.15 Uhr; das Urteil wurde um 12.05 Uhr eröffnet. Die richterliche Haftüberprüfung erfolgte somit innerhalb der Frist von 96 Stunden. II. 1. Wurde ein erstinstanzlicher Weg- oder Ausweisungsentscheid eröffnet oder wurde die betroffene Person mit einer erstinstanzlichen Landesver- weisung belegt, kann die zuständige kantonale Behörde die betroffene Per- son zur Sicherstellung des Vollzugs in Haft nehmen (Art. 76 AIG). Zuständige kantonale Behörde im Sinne von Art. 76 Abs. 1 AIG ist bei mig- rationsamtlichen Wegweisungen gemäss § 13 Abs. 1 EGAR und bei Lan- desverweisungen gemäss § 89 der Verordnung über den Vollzug von Stra- fen und Massnahmen vom 23. September 2020 (Strafvollzugsverordnung, SMV; SAR 253.112) das MIKA. Im vorliegenden Fall wurde die Haftanord- nung durch das MIKA und damit durch die zuständige Behörde erlassen (act. 1 ff.). 2.</w:t>
      </w:r>
    </w:p>
    <w:p>
      <w:r>
        <w:rPr>
          <w:b/>
        </w:rPr>
        <w:t>E. 3.1</w:t>
      </w:r>
    </w:p>
    <w:p>
      <w:r>
        <w:t>Das MIKA stützt seine Haftanordnung auf Art. 76 Abs. 1 lit. b Ziff. 1 i. V. m. Art. 75 Abs. 1 lit. f AIG, wonach ein Haftgrund vorliegt, wenn eine Person, die sich rechtswidrig in der Schweiz aufhält, ein Asylgesuch einreicht und damit offensichtlich bezweckt, den drohenden Vollzug seiner Weg- oder Ausweisung zu vermeiden. Ein solcher Zweck ist zu vermuten, wenn eine frühere Einreichung des Asylgesuchs möglich und zumutbar war und wenn das Gesuch unter anderem in einem engen zeitlichen Zusammenhang mit dem Erlass einer Wegweisungsverfügung eingereicht wurde. Der Haft- grund ist nicht anwendbar, wenn sich im Asylverfahren Hinweise auf Ver- folgung ergeben, denn diesfalls kann nicht von einem missbräuchlichen Gesuch zwecks Vereitelung der Ausschaffung ausgegangen werden (AN- DREAS ZÜND, in: Spescha/Bolzli/de Weck/Hruschka/Priuli/Zünd [Hrsg.], Kommentar Migrationsrecht, 6. Aufl., Zürich 2026, Art. 75 AIG, N 11).</w:t>
      </w:r>
    </w:p>
    <w:p>
      <w:r>
        <w:rPr>
          <w:b/>
        </w:rPr>
        <w:t>E. 3.2</w:t>
      </w:r>
    </w:p>
    <w:p>
      <w:r>
        <w:t>Das MIKA hat das Gesuch um Familiennachzug, welches die Mutter des Gesuchsgegners eingereicht hatte, mit Verfügung vom 29. Juli 2025 abge- lehnt und den Gesuchsgegner zugleich aus der Schweiz weggewiesen (MI- act. 60 f.). Dieser Aufforderung ist der Gesuchsgegner nicht nachgekom-</w:t>
      </w:r>
    </w:p>
    <w:p>
      <w:r>
        <w:t>- 6 - men, sondern hat zwei Wochen später, am 13. August 2025, ein Asylge- such eingereicht (MI-act. 94). Das Einreichen des Asylgesuchs steht damit in einem zeitlich und sachlich engen Konnex zur Wegweisungsverfügung. Da sich der Gesuchsgegner bereits seit dem 23. Juni 2025 in der Schweiz aufgehalten hatte und zunächst ein Gesuch um Familiennachzug stellen liess, ist nicht ersichtlich, weshalb er erst nach Ablehnung dieses Familien- nachzugsgesuchs und nach Erlass der Wegweisungsverfügung ein Asyl- gesuch eingereicht hat. Anlässlich der heutigen Verhandlung gab der Ge- suchsgegner zwar zu Protokoll, dass er wegen einer Teilnahme an einer politischen Demonstration in E._____ in Lebensgefahr sei (Protokoll S. 3, act. 29). Er konnte dies jedoch heute wie auch schon bei der Einreichung des Asylgesuchs nicht belegen (MI-act. 96 f.). Es ist somit nicht davon aus- zugehen, dass der Gesuchsgegner in Kenia verfolgt wird. Viel mehr liegt nahe, dass der Gesuchsgegner mit dem Asylgesuch einzig den drohenden Vollzug der Wegweisung verhindern oder zumindest verzögern wollte. Dem in diesem Zusammenhang gemachten Vorbringen des Vertreters des Ge- suchsgegners, dass der Haftgrund aufgrund des inzwischen abgeschlos- senen Asylverfahrens nicht mehr länger vorliege, kann nicht gefolgt werden (act. 34). Unter diesen Umständen ist der Haftgrund von Art. 76 Abs. 1 lit. b Ziff. 1 i. V. m. Art. 75 Abs. 1 lit. f AIG gegeben und es kann offenbleiben, ob wei- tere Haftgründe bestehen.</w:t>
      </w:r>
    </w:p>
    <w:p>
      <w:r>
        <w:rPr>
          <w:b/>
        </w:rPr>
        <w:t>E. 4</w:t>
      </w:r>
    </w:p>
    <w:p>
      <w:r>
        <w:t>Es stellt sich jedoch die Frage, ob die Haftanordnung deshalb nicht zu bestätigen sei, weil sie im konkreten Fall gegen das Prinzip der Verhält- nismässigkeit verstossen würde. (Art. 5 Abs. 2 der Bundesverfassung der Schweizerischen Eidgenossenschaft vom 18. April 1999 [BV; SR 101]). Dabei sind die Eignung und die Erforderlichkeit der Ausschaffungshaft so- wie die Verhältnismässigkeit der Haft im engeren Sinne zu prüfen. Bei Letzterem bedarf es nach Abwägung der öffentlichen und privaten Interessen eines überwiegenden öffentlichen Interesses. Ob diesbezüglich sämtliche relevanten Kriterien berücksichtigt und richtig angewandt worden sind bzw. ob sich die Massnahme als verhältnismässig erweist, ist als Rechtsfrage durch das Verwaltungsgericht frei zu prüfen.</w:t>
      </w:r>
    </w:p>
    <w:p>
      <w:r>
        <w:rPr>
          <w:b/>
        </w:rPr>
        <w:t>E. 4.1.1</w:t>
      </w:r>
    </w:p>
    <w:p>
      <w:r>
        <w:t>Dass die angeordnete Ausschaffungshaft geeignet ist, den Vollzug der Wegweisung sicherzustellen, liegt auf der Hand und bedarf keiner weiteren Ausführungen.</w:t>
      </w:r>
    </w:p>
    <w:p>
      <w:r>
        <w:t>- 7 -</w:t>
      </w:r>
    </w:p>
    <w:p>
      <w:r>
        <w:rPr>
          <w:b/>
        </w:rPr>
        <w:t>E. 4.1.2</w:t>
      </w:r>
    </w:p>
    <w:p>
      <w:r>
        <w:t>Fraglich ist, ob die angeordnete Haft im konkreten Fall erforderlich ist. Er- forderlich ist eine Massnahme dann, wenn es kein gleich geeignetes mil- deres Mittel gibt, um das angestrebte Ziel zu erreichen. Nachdem der Gesuchsteller ab dem 2. Oktober 2025 unbekannten Aufent- halts war, erteilte das MIKA der Kantonspolizei Aargau den Auftrag, den Gesuchsgegner am Wohnort seiner Mutter anzuhalten. Dies, obschon der Gesuchsgegner vor seinem Aufenthalt im Bundesasylzentrum bei seiner Mutter wohnhaft war und es naheliegend gewesen wäre, den Gesuchsgeg- ner über die Wohnadresse seiner Mutter vorzuladen. Nach seiner Anhal- tung wurde der Gesuchsgegner sodann wieder auf freien Fuss gesetzt und angewiesen, rund eine Woche später beim MIKA zu einem Ausreisege- spräch vorzusprechen. Dieser Aufforderung leistete der Gesuchsgegner folge. Aus dem Umstand, dass der Gesuchsgegner polizeilich angehalten wurde, lässt sich damit nicht schliessen, er werde sich der Ausschaffung widersetzen. Anlässlich des Ausreisegesprächs gab der Gesuchsgegner zu Protokoll, er sei aufgrund seiner gesundheitlichen Probleme nicht bereit, auszureisen. Insofern ist nicht zu beanstanden, wenn das MIKA in jenem Zeitpunkt da- von ausging, es bestehe beim Gesuchsgegner Untertauchensgefahr. An- lässlich der heutigen Verhandlung legte der Gesuchsgegner jedoch glaub- haft dar, er habe seine Ansicht geändert und sei nun bereit, mit den Behör- den zu kooperieren und auszureisen. Seine Ausreisebereitschaft ist nach Auffassung des Gerichts ernsthaft und kann nicht als Schutzbehauptung gewertet werden, welche einzig deshalb geäussert wurde, um der ange- ordneten Ausschaffungshaft zu entgehen. Die Glaubhaftigkeit der Aussage wird dadurch untermauert, dass der Gesuchsgegner bislang sämtlichen Vorladungen Folge geleistet hat, selbst dann, als er vor wenigen Tagen polizeilich angehalten wurde. Hinzu kommt, dass er seinen zwischenzeitli- chen Aufenthaltsort bei seiner Freundin offengelegt hat und während sei- nes Aufenthalts in der Schweiz nie straffällig in Erscheinung getreten ist. Unter Würdigung dieser Umstände erscheint die angeordnete Ausschaf- fungshaft als nicht erforderlich. Mit anderen Worten könnte der Vollzug der Wegweisung auch mit milderen Massnahmen, namentlich mit einer Ein- grenzung und/oder einer Meldepflicht sowie später mit polizeilicher Beglei- tung des Gesuchsgegners an den Flughafen sichergestellt werden. Die Haft ist damit unverhältnismässig und der Gesuchsgegner ist unverzüglich aus der Haft zu entlassen.</w:t>
      </w:r>
    </w:p>
    <w:p>
      <w:r>
        <w:rPr>
          <w:b/>
        </w:rPr>
        <w:t>E. 5</w:t>
      </w:r>
    </w:p>
    <w:p>
      <w:r>
        <w:t>Unter diesen Umständen erübrigen sich weitere Ausführungen betreffend die Haftbedingungen, das Beschleunigungsgebot und die Haftdauer.</w:t>
      </w:r>
    </w:p>
    <w:p>
      <w:r>
        <w:t>- 8 -</w:t>
      </w:r>
    </w:p>
    <w:p>
      <w:r>
        <w:rPr>
          <w:b/>
        </w:rPr>
        <w:t>E. 6</w:t>
      </w:r>
    </w:p>
    <w:p>
      <w:r>
        <w:t>Zusammenfassend ist festzuhalten, dass zwar ein Haftgrund vorliegt, sich die Anordnung der Haft aus den dargelegten Gründen jedoch als nicht erforderlich und folglich als unverhältnismässig erweist. III. Nachdem der Gesuchsgegner obsiegt, sind die Verfahrenskosten auf die Staatskasse zu nehmen und der Vertreter des Gesuchsgegners ist aufzufordern, seine Kostennote einzureichen. IV. Der vorliegende Entscheid wurde den Parteien zusammen mit einer kurzen Begründung anlässlich der heutigen Verhandlung mündlich eröffnet. Das Dispositiv wurde dem Gesuchsteller und dem Rechtsvertreter des Gesuchsgegners im Anschluss an die Verhandlung per IncaMail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