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WPR.2026.42 vom 11. Mai 2026</w:t>
      </w:r>
    </w:p>
    <w:p>
      <w:r>
        <w:t>AG Verwaltungsgericht, 2026-05-11, DE</w:t>
      </w:r>
    </w:p>
    <w:p>
      <w:r>
        <w:rPr>
          <w:b/>
        </w:rPr>
        <w:t xml:space="preserve">Quelle: </w:t>
      </w:r>
      <w:r>
        <w:t>https://mcp.opencaselaw.ch/entscheid/ag_verwaltungsgericht_WPR.2026.42</w:t>
      </w:r>
    </w:p>
    <w:p>
      <w:r>
        <w:t>FR: AG_VERWALTUNGSGERICHT WPR.2026.42 du 11 mai 2026</w:t>
      </w:r>
    </w:p>
    <w:p>
      <w:r>
        <w:t>IT: AG_VERWALTUNGSGERICHT WPR.2026.42 del 11 maggio 2026</w:t>
      </w:r>
    </w:p>
    <w:p>
      <w:pPr>
        <w:pStyle w:val="Heading2"/>
      </w:pPr>
      <w:r>
        <w:t>Erwägungen</w:t>
      </w:r>
    </w:p>
    <w:p>
      <w:r>
        <w:rPr>
          <w:b/>
        </w:rPr>
        <w:t>E. 2</w:t>
      </w:r>
    </w:p>
    <w:p>
      <w:r>
        <w:t>Die Haft begann am 11. Mai 2026, 09.40 Uhr. Sie wird in Anwendung von Art. 76 AIG für drei Monate bis zum 10. August 2026, 12.00 Uhr, angeordnet.</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13. September 2024 lehnte das SEM das Asylgesuch des Gesuchsgegners ab und wies ihn aus der Schweiz weg (MI-act. 86 ff.). Die dagegen erhobene Beschwerde wies das Bundesverwaltungsgericht mit Urteil E-6034/2024 vom 4. Oktober 2024 ab (MI-act. 76 ff.), womit der Wegweisungsentscheid des SEM in Rechtskraft erwachsen ist.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Grundsätzlich sind Ausschaffungen aller Vollzugsstufen nach Sierra Leone möglich (Protokoll S. 5 f., act. 50 f.). Zudem wurde für den Gesuchsgegner bereits ein Ersatzreisedokument ausgestellt, welches bis zum 31. Dezember 2026 gültig ist (MI-act. 143 f.). 3.</w:t>
      </w:r>
    </w:p>
    <w:p>
      <w:r>
        <w:rPr>
          <w:b/>
        </w:rPr>
        <w:t>E. 3</w:t>
      </w:r>
    </w:p>
    <w:p>
      <w:r>
        <w:t>Eventualiter wird die Haft in Anwendung von Art. 77 AIG für 60 Tage angeordnet.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w:t>
      </w:r>
    </w:p>
    <w:p>
      <w:r>
        <w:t>- 6 - Person darauf schliessen lässt, dass sie sich behördlichen Anordnungen widersetzt (Art. 76 Abs. 1 lit. b Ziff. 4 AIG). Eine klare Trennung der beiden genannten Haftgründe ist in der Praxis kaum möglich. Vielmehr ist Art. 76 Abs. 1 lit. b Ziff. 4 AIG wohl als Präzi- 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 Der Gesuchsgegner gab anlässlich der Ausreisegespräche vom 7. Januar 2025 (MI-act. 105 ff.) und 11. Mai 2026 (act. 7 ff.) sowie anlässlich des gleichentags gewährten rechtlichen Gehörs betreffend die Anordnung einer Ausschaffungshaft (act. 9 f.) stets zu Protokoll, er sei nicht zur Ausreise in seinen Heimatstaat bereit (MI-act. 105 f.; act. 7, 9). Nachdem das Asylgesuch des Gesuchsgegners abgelehnt (MI-act. 86 ff.) und die dagegen erhobene Beschwerde abgewiesen wurde (MI-act. 76 ff.) und der Asylentscheid somit in Rechtskraft erwachsen ist, ist die Weigerung des Gesuchsgegners zur Ausreise als klares Anzeichen für das Vorliegen einer Untertauchensgefahr zu werten. Damit ist der Haftgrund von Art. 76 Abs. 1 lit. b Ziff. 3 und Ziff. 4 AIG erfüllt. Dies gilt umso mehr, als sich der Gesuchsgegner bezüglich der Teilnahme an der Haftüberprüfungs- verhandlung völlig unkooperativ verhielt, jegliche Kommunikation ver- weigerte und weder von dem Einzelrichter noch von seinem amtlichen Vertreter zur Teilnahme bewegt werden konnte.</w:t>
      </w:r>
    </w:p>
    <w:p>
      <w:r>
        <w:rPr>
          <w:b/>
        </w:rPr>
        <w:t>E. 3.2</w:t>
      </w:r>
    </w:p>
    <w:p>
      <w:r>
        <w:t>Das MIKA stellt in der Verfügung vom 11. Mai 2026 betreffend die Anord- nung einer Ausschaffungshaft den Eventualantrag, die Haft könnte auch in Anwendung von Art. 77 AIG für 60 Tage angeordnet werden (act. 1). Da der Haftgrund von Art. 76 Abs. 1 lit. b Ziff. 3 und Ziff. 4 AIG gegeben ist, erübrigt sich eine Prüfung von Art. 77 AIG. 4. Bezüglich der Haftbedingungen liegen keine Beanstandungen vor, die geeignet wären, die Haft als unverhältnismässig zu bezeichnen. Daran ändert auch das Vorbringen des Vertreters des Gesuchsgegners anlässlich der Haftüberprüfungsverhandlung nichts, die Ausschaffungshaft sei angesichts des Gesundheitszustands des Gesuchsgegners unverhältnis- mässig (Protokoll S. 6 f., act. 51 f.). Zum Gesundheitszustand des Gesuchsgegners ist festzuhalten, dass dieser gemäss Auskunft der Polizei nach der Inhaftierung im Bezirksgefängnis Aarau, welche nur durch sieben Polizisten und Polizistinnen erwirkt werden konnte, begonnen habe, die</w:t>
      </w:r>
    </w:p>
    <w:p>
      <w:r>
        <w:t>- 7 - Einzelzelle zu zerstören, und sich bis auf die Unterwäsche entkleidet habe. Zudem habe der Gesuchsgegner mit einem Reisverschluss einen Strick gebastelt. Aufgrund des Verhaltens des Gesuchsgegners liess die Gefängnisleitung des Bezirksgefängnisses Aarau dessen Hafterstehungsfähigkeit überprüfen, welche in der Folge ärztlich bestätigt wurde (Protokoll S. 2, act. 47; 41 f.). Gemäss bundesgerichtlicher Rechtsprechung führt psychische oder physische Erkrankung nicht ohne weiteres zur Haftentlassung. Die kantonalen Behörden haben jedoch angemessene Haftbedingungen zu gewährleisten, wobei es sich rechtfertigen kann, die Haft in einer Klinik oder sonstigen geeigneten Räumlichkeiten zu vollziehen. Erst wenn die Haft aufgrund des Krankheitszustandes vollends unzumutbar wird, stellt sich die Frage der Hafterstehungsfähigkeit. Die kantonalen Behörden müssen die Entwicklung der konkreten Umstände, namentlich des Gesundheits- zustandes des Häftlings, im Auge behalten und der Frage der Zumutbarkeit im Rahmen eines Haftentlassungsgesuchs oder von Amtes wegen nachgehen; die Sperrfristen gemäss Art. 80 Abs. 5 AIG gelten diesfalls nicht (Urteil des Bundesgerichts 2A.430/2002 vom 25. September 2002, Erw. 3.1). Im vorliegenden Fall wurde die Hafterstehungsfähigkeit am 11. Mai 2026, 15.00 Uhr, geprüft und bejaht (act. 41 f.). Im Übrigen wurde der Gesuch- steller anlässlich der Haftüberprüfungsverhandlung auf seine Pflicht hinge- wiesen, die Hafterstehungsfähigkeit laufend zu beurteilen und gegebenen- falls erneut überprüfen zu lassen. Da das Zentrum für ausländerrechtliche Administrativhaft Zürich (ZAA) über einen medizinischen Dienst verfügt, ist davon auszugehen, dass der Gesuchsteller dieser Verpflichtung durch ent- sprechende Orientierung des ZAA nachkommen kann und eine Prüfung der Hafterstehungsfähigkeit sichergestellt ist. Sollte eine Prüfung der Hafterstehungsfähigkeit vor Überstellung ins ZAA angezeigt sein, kann diese, wie bereits erfolgt, erneut und kurzfristig im Bezirksgefängnis Aarau durchgeführt werden. Nach dem Gesagten sind die Haftbedingungen mit Blick auf das psychisch auffällige Verhalten des Gesuchsgegners weder im Bezirksgefängnis Aarau noch im ZAA zu beanstanden. Zudem könnte die Ausschaffungshaft, soweit angezeigt, jederzeit in der geschlossenen Abteilung einer psychiatrischen Klinik vollzogen werden. 5. Es liegen auch keine Anzeichen dafür vor, dass das MIKA dem Beschleunigungsgebot (Art. 76 Abs. 4 AIG) nicht ausreichend Beachtung geschenkt hätte.</w:t>
      </w:r>
    </w:p>
    <w:p>
      <w:r>
        <w:t>- 8 - 6.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 anordnung sprechen würden. Gleiches gilt für den Gesundheitszustand des Gesuchsgegners (siehe vorne Erw. II/4). Insgesamt sind damit keine Gründe ersichtlich, welche die Haft als unverhältnismässig escheinen lassen würden.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 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w:t>
      </w:r>
    </w:p>
    <w:p>
      <w:r>
        <w:t>- 9 -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4</w:t>
      </w:r>
    </w:p>
    <w:p>
      <w:r>
        <w:t>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Anlässlich der heutigen Verhandlung vor dem Einzelrichter des Ver- waltungsgerichts wurden der Gesuchsteller und der Gesuchsgegner befragt. D. Der Gesuchsteller beantragte die Bestätigung der Haftanordnung (Protokoll S. 6, act. 51]). Der Gesuchsgegner liess folgende Anträge stellen (Protokoll S. 6, act. 51]): 1. Der Gesuchsgegner sei unverzüglich aus der Ausschaffungshaft zu entlassen. 2. Unter den üblichen Kosten- und Entschädigungsfolgen. 3. Der Eventualantrag des MIKA sei abzuweisen.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w:t>
      </w:r>
    </w:p>
    <w:p>
      <w:r>
        <w:t>- 4 -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11. Mai 2026 um 09.40 Uhr polizeilich angehalten, worauf ihm das MIKA das rechtliche Gehör betreffend die Anordnung einer Ausschaffungshaft gewährte (act. 2,</w:t>
      </w:r>
    </w:p>
    <w:p>
      <w:r>
        <w:rPr>
          <w:b/>
        </w:rPr>
        <w:t>E. 9</w:t>
      </w:r>
    </w:p>
    <w:p>
      <w:r>
        <w:t>f.). Die mündliche Verhandlung begann am 11. Mai 2026, 17.05 Uhr; das Urteil wurde um 17.35 Uhr eröffnet. Die richterliche Haftüberprüfung erfolgte somit innerhalb der Frist von 96 Stunden. 3. Anzumerken ist, dass sich der Gesuchsgegner weigerte, vor der Ver- handlung mit seinem amtlichen Vertreter ein Instruktionsgespräch zu führen. Aufgrund seines Verhaltens mussten mehrere Polizisten und Polizistinnen aufgeboten und der Gesuchsgegner in Fuss- und Hand- fesseln gelegt werden. Zu seinem Selbstschutz musste ihm zudem ein Kopfschutz angelegt werden. Trotz Bemühungen des Einzelrichters und des amtlichen Vertreters konnte der Gesuchsgegner nicht zu einer Teilnahme an der Verhandlung bewegt werden.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