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WPR.2026.30 vom 20. April 2026</w:t>
      </w:r>
    </w:p>
    <w:p>
      <w:r>
        <w:t>AG Verwaltungsgericht, 2026-04-20, DE</w:t>
      </w:r>
    </w:p>
    <w:p>
      <w:r>
        <w:rPr>
          <w:b/>
        </w:rPr>
        <w:t xml:space="preserve">Quelle: </w:t>
      </w:r>
      <w:r>
        <w:t>https://mcp.opencaselaw.ch/entscheid/ag_verwaltungsgericht_WPR.2026.30</w:t>
      </w:r>
    </w:p>
    <w:p>
      <w:r>
        <w:t>FR: AG_VERWALTUNGSGERICHT WPR.2026.30 du 20 avril 2026</w:t>
      </w:r>
    </w:p>
    <w:p>
      <w:r>
        <w:t>IT: AG_VERWALTUNGSGERICHT WPR.2026.30 del 20 aprile 2026</w:t>
      </w:r>
    </w:p>
    <w:p>
      <w:pPr>
        <w:pStyle w:val="Heading2"/>
      </w:pPr>
      <w:r>
        <w:t>Erwägungen</w:t>
      </w:r>
    </w:p>
    <w:p>
      <w:r>
        <w:rPr>
          <w:b/>
        </w:rPr>
        <w:t>E. 2</w:t>
      </w:r>
    </w:p>
    <w:p>
      <w:r>
        <w:t>Die Haft beginnt am 17. April 2026, 08:00 Uhr.</w:t>
      </w:r>
    </w:p>
    <w:p>
      <w:r>
        <w:rPr>
          <w:b/>
        </w:rPr>
        <w:t>E. 3</w:t>
      </w:r>
    </w:p>
    <w:p>
      <w:r>
        <w:t>Gemäss Art. 76a Abs. 1 lit. a AIG müssen konkrete Anzeichen dafür vorliegen, dass sich die betroffene Person der Durchführung der</w:t>
      </w:r>
    </w:p>
    <w:p>
      <w:r>
        <w:t>- 8 - Wegweisung entziehen will. Davon ist insbesondere dann auszugehen, wenn einer der in Art. 76a Abs. 2 AIG genannten Umstände vorliegt. Der Gesuchsteller führt als Haftgrund Art. 76a Abs. 2 lit. b AIG an und begründet das Vorliegen der Untertauchensgefahr damit, dass der Gesuchsgegner wiederholt im Wissen um die Zuständigkeit Deutschlands für sein Asylverfahren illegal in die Schweiz eingereist sei. Zudem habe sich der Gesuchsgegner im Rahmen der Gewährungen des rechtlichen Gehörs wiederholt nicht dazu bereit erklärt, in den zuständigen Dublin- Mitgliedstaat, Deutschland, zurückzukehren. Somit halte er sich in Europa gewissermassen als Asyltourist auf, welcher keinerlei Gewähr für eine ordnungsgemäss Ausreise bilde (MI-act. 37; 230). Aufgrund des Dublin-Abkommens müssen die Schweizer Behörden sicherstellen, dass der Gesuchsgegner in den für ihn zuständigen Dublin- Staat überführt wird. Vorliegend dürfte die Zuständigkeit bei Deutschland liegen (MI-act. 11 ff.); das SEM muss allerdings ein erneutes Rücküber- nahmegesuch stellen (MI-act. 223). Aus diesem Grund ist eine selbständige Reise nach Deutschland keine Option. Rechtlich ist einzig eine Rückführung in den zuständigen Dublin-Staat möglich, mit Benach- richtigung der entsprechenden Behörden im Dublin-Staat. Diesen Weg verweigert der Gesuchsgegner jedoch unmissverständlich, weshalb mit seiner Kooperation nicht zu rechnen ist (MI-act. 37, 220). Insbesondere sein Widerwille, sich den deutschen Behörden zur Verfügung zu stellen bzw. nach Deutschland zurückzukehren, ist ein konkretes Anzeichen dafür, dass er sich nicht an behördliche Anweisungen halten wird. Zudem bediente sich der Gesuchsgegner in der Vergangenheit verschiedener falscher Identitäten und wies er sich anlässlich der polizeilichen Anhaltung vom 11. Oktober 2024 mit einem auf seinem Mobiltelefon gespeicherten und nicht ihm gehörenden Pass aus (MI-act. 15). Weiter hat ein erneut gestelltes Asylgesuch keinen Einfluss auf die Anordnung einer Vorbe- reitungshaft (act. 21). Damit ist der Haftgrund im Sinne von Art. 76a Abs. 2 lit. b AIG erfüllt, entgegen den diesbezüglichen Vorbringen des Rechts- vertreters des Gesuchsgegners (act. 18 ff.). Nach dem Gesagten liegen konkrete Anzeichen im Sinne von Art. 76a Abs. 2 lit. b AIG vor, dass der Gesuchsgegner sich dem Vollzug der Wegweisung entziehen würde, womit zumindest der genannte Haftgrund erfüllt ist. Zudem beruft sich der Gesuchsteller auf den Haftgrund von Art. 76a Abs. 2 lit. e AIG. Danach liegt ein Haftgrund vor, wenn die betroffene Person trotz Einreiseverbot das Gebiet der Schweiz betritt und nicht sofort weggewiesen werden kann.</w:t>
      </w:r>
    </w:p>
    <w:p>
      <w:r>
        <w:t>- 9 - Der Gesuchsgegner ist am 2. April 2026 (MI-act. 201) illegal in die Schweiz eingereist und hat damit gegen das am 15. Oktober 2024 für die Dauer von zwei Jahren verfügte Einreiseverbot verstossen (MI-act. 137). Eine unmit- telbare Wegweisung ist nicht möglich, da zunächst ein neues Dublin- Verfahren durchzuführen ist. Damit liegt zusätzlich ein Haftgrund nach Art. 76a Abs. 2 lit. e AIG vor.</w:t>
      </w:r>
    </w:p>
    <w:p>
      <w:r>
        <w:rPr>
          <w:b/>
        </w:rPr>
        <w:t>E. 4</w:t>
      </w:r>
    </w:p>
    <w:p>
      <w:r>
        <w:t>Bezüglich der Haftbedingungen liegen keine Beanstandungen vor.</w:t>
      </w:r>
    </w:p>
    <w:p>
      <w:r>
        <w:rPr>
          <w:b/>
        </w:rPr>
        <w:t>E. 5</w:t>
      </w:r>
    </w:p>
    <w:p>
      <w:r>
        <w:t>Es liegen auch keine Anzeichen dafür vor, dass das MIKA dem Beschleu- nigungsgebot nicht ausreichend Beachtung geschenkt hätte.</w:t>
      </w:r>
    </w:p>
    <w:p>
      <w:r>
        <w:rPr>
          <w:b/>
        </w:rPr>
        <w:t>E. 6</w:t>
      </w:r>
    </w:p>
    <w:p>
      <w:r>
        <w:t>Abschliessend stellt sich die Frage, ob die Haftanordnung deshalb nicht zu bestätigen sei, weil sie im konkreten Fall gegen das Prinzip der Ver- 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 mässig erscheinen liessen.</w:t>
      </w:r>
    </w:p>
    <w:p>
      <w:r>
        <w:rPr>
          <w:b/>
        </w:rPr>
        <w:t>E. 7</w:t>
      </w:r>
    </w:p>
    <w:p>
      <w:r>
        <w:t>Das MIKA ordnete die Administrativhaft gestützt auf Art. 76a Abs. 3 lit. a AIG für zunächst maximal sieben Wochen bis zum 4. Juni 2026 an (act. 1 ff.). Dies ist nicht zu beanstanden. Nach Eröffnung des Wegweisungsentscheides erfolgt die weitere Inhaftierung des Gesuchsgegners bis zur Rücküberführung gestützt auf Art. 76a Abs. 3 lit. c AIG (Wegweisungsvollzug) und dauert längstens sechs Wochen. Den Übergang in die Verfahrensphase des Wegweisungs- vollzugs hat das MIKA mittels Feststellungsverfügung anzuzeigen. Weigert sich der Gesuchsgegner im Rahmen des Wegweisungsvollzugs, ein Transportmittel zur Durchführung der Überstellung in den zuständigen Dublin-Staat zu besteigen, oder verhindert er auf eine andere Art und Weise durch sein persönliches Verhalten die Überstellung, kann gemäss Art. 76a Abs. 4 AIG Renitenzhaft angeordnet werden. Die gemäss nationalem Recht geltende Höchstdauer der Haft von drei Monaten darf nach bundesgerichtlicher Rechtsprechung jedoch nicht ausgeschöpft werden und muss richterlich überprüfbar sein (BGE 148 II 169, Erw. 4 ff.). Nachdem das Bundesgericht offengelassen hat, welche Haftdauer</w:t>
      </w:r>
    </w:p>
    <w:p>
      <w:r>
        <w:t>- 10 - insgesamt zulässig ist, wird aufgrund des konkreten Einzelfalls zu bestimmen sein, für wie lange Renitenzhaft angeordnet werden darf.</w:t>
      </w:r>
    </w:p>
    <w:p>
      <w:r>
        <w:rPr>
          <w:b/>
        </w:rPr>
        <w:t>E. 8</w:t>
      </w:r>
    </w:p>
    <w:p>
      <w:r>
        <w:t>Es bestehen überdies keine Anzeichen dafür, dass die für die Rückführung des Gesuchsgegners nach Deutschland notwendigen Schritte nicht innert der jeweils maximal zulässigen Haftdauer abgeschlossen werden könnten und die Haft gemäss Art. 80a Abs. 7 lit. a AIG zu beenden wäre.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