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WPR.2026.29 vom 22. April 2026</w:t>
      </w:r>
    </w:p>
    <w:p>
      <w:r>
        <w:t>AG Verwaltungsgericht, 2026-04-22, DE</w:t>
      </w:r>
    </w:p>
    <w:p>
      <w:r>
        <w:rPr>
          <w:b/>
        </w:rPr>
        <w:t xml:space="preserve">Quelle: </w:t>
      </w:r>
      <w:r>
        <w:t>https://mcp.opencaselaw.ch/entscheid/ag_verwaltungsgericht_WPR.2026.29</w:t>
      </w:r>
    </w:p>
    <w:p>
      <w:r>
        <w:t>FR: AG_VERWALTUNGSGERICHT WPR.2026.29 du 22 avril 2026</w:t>
      </w:r>
    </w:p>
    <w:p>
      <w:r>
        <w:t>IT: AG_VERWALTUNGSGERICHT WPR.2026.29 del 22 aprile 2026</w:t>
      </w:r>
    </w:p>
    <w:p>
      <w:pPr>
        <w:pStyle w:val="Heading2"/>
      </w:pPr>
      <w:r>
        <w:t>Erwägungen</w:t>
      </w:r>
    </w:p>
    <w:p>
      <w:r>
        <w:rPr>
          <w:b/>
        </w:rPr>
        <w:t>E. 2</w:t>
      </w:r>
    </w:p>
    <w:p>
      <w:r>
        <w:t>Die Haft begann am 19. April 2026, 06:20 Uhr. Sie wird in Anwendung von Art. 76 AIG für drei Monate bis zum 18. Juli 2026, 12.00 Uhr, angeordnet.</w:t>
      </w:r>
    </w:p>
    <w:p>
      <w:r>
        <w:t>- 4 -</w:t>
      </w:r>
    </w:p>
    <w:p>
      <w:r>
        <w:rPr>
          <w:b/>
        </w:rPr>
        <w:t>E. 2.1</w:t>
      </w:r>
    </w:p>
    <w:p>
      <w:r>
        <w:t>Das MIKA begründet seine Haftanordnung damit, dass es die Gesuchsgegnerin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6. Februar 2025 lehnte das SEM das (zweite) Asylgesuch der Gesuchsgegnerin ab und wies sie aus der Schweiz weg (MI-act. 104 ff.). Die dagegen erhobene Beschwerde wies das Bundesverwaltungsgericht mit Urteil E-1618/2025 vom 15. April 2025 ab (MI-act. 123 ff.), womit der Wegweisungsentscheid des SEM in Rechtskraft erwachsen ist.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w:t>
      </w:r>
    </w:p>
    <w:p>
      <w:r>
        <w:t>- 6 - Es sind keine Anzeichen vorhanden, die an der Ausschaffungsmöglichkeit in tatsächlicher oder rechtlicher Hinsicht Zweifel aufkommen lassen würden.</w:t>
      </w:r>
    </w:p>
    <w:p>
      <w:r>
        <w:rPr>
          <w:b/>
        </w:rPr>
        <w:t>E. 3</w:t>
      </w:r>
    </w:p>
    <w:p>
      <w:r>
        <w:t>Unter Kosten- und Entschädigungsfolge.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die Gesuchsgegnerin am 19. April 2026, um 06.20 Uhr, angehalten (MI-act. 281). Die mündliche Verhandlung begann am 22. April 2026, 13.35 Uhr; das Urteil wurde um 14.05 Uhr eröffnet. Die</w:t>
      </w:r>
    </w:p>
    <w:p>
      <w:r>
        <w:t>- 5 - richterliche Haftüberprüfung erfolgte somit innerhalb der Frist von 96 Stunden. II. 1. Wurde ein erstinstanzlicher Weg- oder Ausweisungsentscheid eröffnet oder wurde die betroffene Person mit einer erstinstanzlichen Landesverweisung belegt, kann die zuständige kantonale Behörde die betroffene Person zur Sicherstellung des Vollzugs in Haft nehmen (Art. 76 AIG). Zuständige kantonale Behörde im Sinne von Art. 76 Abs. 1 AIG ist bei migrationsamtlichen Wegweisungen gemäss § 13 Abs. 1 EGAR und bei Landesverweisungen gemäss § 89 der Verordnung über den Vollzug von Strafen und Massnahmen vom 23. September 2020 (Strafvollzugsverordnung, SMV; SAR 253.112)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Spescha/Bolzli/de Weck/Hruschka/Priuli/Zünd [Hrsg.], Kommentar Migrationsrecht, 6. Aufl., Zürich 2026, N. 7 zu Art. 76 AIG; JANINE SERT, in: Caroni/Thurnherr [Hrsg.], Stämpflis Handkommentar zum Ausländer- und Integrationsgesetz [AIG], 2. Aufl., Bern 2024, N. 17 zu Art. 76).</w:t>
      </w:r>
    </w:p>
    <w:p>
      <w:r>
        <w:rPr>
          <w:b/>
        </w:rPr>
        <w:t>E. 3.2</w:t>
      </w:r>
    </w:p>
    <w:p>
      <w:r>
        <w:t>Die Gesuchsgegnerin war aufgrund der Wegweisungsfügung des SEM vom 6. Februar 2025 verpflichtet, die Schweiz sowie den Schengen-Raum bis am Tag nach Eintritt der Rechtskraft zu verlassen (MI-act. 104 ff.). Mit Urteil des Bundesverwaltungsgerichts E-1618/2025 vom 15. April 2025 erwuchs die Verfügung in Rechtskraft (MI-act. 123 ff.). Die Gesuchsgegnerin trat den für sie für den 27. März 2026 gebuchten Flug jedoch nicht an und reiste nicht aus; ab diesem Tag galt sie als</w:t>
      </w:r>
    </w:p>
    <w:p>
      <w:r>
        <w:t>- 7 - unbekannten Aufenthalts (MI-act. 219 f., 223 ff., 278). Des Weiteren erklärte die Gesuchsgegnerin im Rahmen der Ausreisegespräche wiederholt, sie sei nicht zur Ausreise nach Sri Lanka bereit (MI-act. 150, 196 f., 228). Auch anlässlich des am 20. April 2026 vom MIKA gewährten rechtlichen Gehörs betreffend die Anordnung einer Ausschaffungshaft gab die Gesuchsgegnerin zu Protokoll, sie sei nicht zur Rückkehr in ihren Heimatstaat bereit (act. 9). Dies bekräftigte sie auch an der heutigen Verhandlung (Protokoll S. 3, act. 47).</w:t>
      </w:r>
    </w:p>
    <w:p>
      <w:r>
        <w:rPr>
          <w:b/>
        </w:rPr>
        <w:t>E. 3.3</w:t>
      </w:r>
    </w:p>
    <w:p>
      <w:r>
        <w:t>Trotz entsprechender Aufforderung durch das MIKA am 2. Juni 2025 (MI- act. 140 f.) unternahm die Gesuchsgegnerin keine Schritte, um eigen- ständig Reisedokumente zu organisieren oder bei der Beschaffung von Ersatzreisedokumenten mitzuwirken (MI-act. 149 ff.). Somit ist die Gesuchsgegnerin ihrer Mitwirkungspflicht bei der Papierbeschaffung nicht nachgekommen.</w:t>
      </w:r>
    </w:p>
    <w:p>
      <w:r>
        <w:rPr>
          <w:b/>
        </w:rPr>
        <w:t>E. 3.4</w:t>
      </w:r>
    </w:p>
    <w:p>
      <w:r>
        <w:t>Mit ihrer stetigen Weigerung, ihrer Ausreisepflicht nachzukommen, setzte die Gesuchsgegnerin klare Anzeichen für eine Untertauchensgefahr und es ist nicht davon auszugehen, dass sie die Schweiz nach Entlassung aus der Ausschaffungshaft freiwillig in Richtung Sri Lanka verlassen würde. Der in diesem Zusammenhang vom Vertreter der Gesuchsgegnerin gemachte Hinweis auf die bundesgerichtliche Rechtsprechung, wonach allein aus der Weigerung zur Ausreise nicht auf eine Untertauchensgefahr geschlossen werden könne (act. 54), ist unzutreffend. Das Bundesgericht hielt unmissverständlich fest, "dass ein Ausländer allein wegen der Äusserung, lieber in der Schweiz verbleiben als ins Ausland zu verreisen, nicht in Ausschaffungshaft genommen werden dürfe, solange er noch mit einem Rechtsmittel um sein Bleiberecht streite" (Urteil des Bundesgerichts 2C_947/2020 vom 15. Dezember 2022, Erw. 2.2.1). Da im vorliegenden Verfahren bereits ein rechtskräftiger Asylentscheid ergangen ist und somit kein Rechtsmittel mehr ergriffen werden kann, ist die Weigerung der Gesuchsgegnerin als klares Anzeichen für das Vorliegen einer Untertauchensgefahr zu werten. Hinzu kommt, dass die Gesuchsgegnerin ab dem 27. März 2026 bereits unbekannten Aufenthalts war (siehe vorne Erw. II/.3.2; MI-act. 278). Der Haftgrund von Art. 76 Abs. 1 lit. b Ziff. 3 und Ziff. 4 AIG ist somit erfüllt.</w:t>
      </w:r>
    </w:p>
    <w:p>
      <w:r>
        <w:rPr>
          <w:b/>
        </w:rPr>
        <w:t>E. 4</w:t>
      </w:r>
    </w:p>
    <w:p>
      <w:r>
        <w:t>Bezüglich der Haftbedingungen liegen keine Beanstandungen vor (Protokoll S. 6, act. 50).</w:t>
      </w:r>
    </w:p>
    <w:p>
      <w:r>
        <w:t>- 8 -</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der Gesuchsgegnerin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7.1</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Die Gesuchsgegnerin macht auch nicht geltend, sie sei nicht hafterstehungsfähig und führt auch sonst nicht aus, inwiefern die Haft unverhältnismässig wäre.</w:t>
      </w:r>
    </w:p>
    <w:p>
      <w:r>
        <w:rPr>
          <w:b/>
        </w:rPr>
        <w:t>E. 7.2</w:t>
      </w:r>
    </w:p>
    <w:p>
      <w:r>
        <w:t>Die Gesuchsgegnerin bringt hervor, sie wolle heiraten und den Entscheid des Ehevorbereitungsverfahrens in der Schweiz abwarten (MI-act. 297 f.). Die Ausschaffungshaft kann sich gemäss geltender Rechtsprechung bei einer bevorstehenden Eheschliessung als unverhältnismässig erweisen, wenn sämtliche notwendigen Papiere vorliegen, ein Termin für die Eheschliessung feststeht und innert kurzer Frist mit der Erteilung einer Aufenthaltsbewilligung zu rechnen ist (vgl. Urteile des Bundes- gerichts 2C_218/2013 vom 26. März 2013, Erw. 5.2; 2C_150/2012 vom 14. Februar 2012, Erw. 2.2.2 mit weiteren Hinweisen). Dies ist vorliegend nicht der Fall. Aus den Akten geht hervor, dass die Papiere des Bräutigams zwar nachgereicht wurden, diese konnten jedoch noch nicht auf ihre Registerkonformität geprüft werden (act. 56 ff.). Die Gesuchsgegnerin bringt anlässlich der Haftverhandlung vor, die Eheschliessung sei für den Geburtstag ihres Verlobten, den 8. Mai 2026, vorgesehen. Aufgrund der noch ausstehenden Prüfung der Papiere des Verlobten konnte zum heutigen Zeitpunkt jedoch noch kein offizieller Termin für die Eheschliessung festgelegt werden. Schliesslich ist festzuhalten, dass die Rekursabteilung der Sicherheitsdirektion des Kantons Zürich den Rekurs</w:t>
      </w:r>
    </w:p>
    <w:p>
      <w:r>
        <w:t>- 9 - Nr. 2026.0055 der Gesuchsgegnerin vom 14. Januar 2026 mit der Begründung abwies, die Eheschliessung werde nicht in absehbarer Zeit erfolgen und es sei von rechtsmissbräuchlichem Verhalten (Hinweise auf eine Scheinehe) auszugehen (MI-act. 204 ff., 210). Die Haft erweist sich demnach im Hinblick auf eine allfällige Eheschliessung nicht als unverhältnismässig.</w:t>
      </w:r>
    </w:p>
    <w:p>
      <w:r>
        <w:rPr>
          <w:b/>
        </w:rPr>
        <w:t>E. 7.3</w:t>
      </w:r>
    </w:p>
    <w:p>
      <w:r>
        <w:t>Insgesamt sind keinerlei Gründe ersichtlich, welche die angeordnete Haft als unverhältnismässig erscheinen lassen. III. 1. Gemäss § 28 Abs. 1 EGAR ist das Verfahren betreffend Haftüberprüfung unentgeltlich. Demgemäss werden keine Kosten erhoben. 2. Der Gesuchsgegnerin ist gemäss § 27 Abs. 2 EGAR zwingend ein amtli- cher Rechtsvertreter zu bestellen, da der Gesuchsteller eine Haft für eine Dauer von mehr als 30 Tagen anordnete. Der Vertreter der Gesuchsgegnerin wird aufgefordert, nach Haftentlassung der Gesuchsgegnerin seine Kostennote einzureichen. IV. 1. Die Gesuchsgegnerin wird darauf hingewiesen, dass ein Haftentlassungs- gesuch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ff., Erw. I/4.3 ff.). Im Rahmen der Befragung zwecks Gewährung des rechtlichen Gehörs hat das MIKA der Gesuchsgegnerin daher die Frage zu unterbreiten, ob sie die Durch- führung einer mündlichen Verhandlung wünscht und ob sie in diesem Fall eine Präsenzverhandlung verlangt oder mit einer Verhandlung via Videote- lefonie einverstanden ist (Urteil des Bundesgerichts 2C_846/2021 vom 19. November 2021). Die Anordnung einer allfälligen Haftverlängerung ist dem Verwaltungsgericht spätestens acht Arbeitstage vor Ablauf der bewil- ligten Haft einzureichen.</w:t>
      </w:r>
    </w:p>
    <w:p>
      <w:r>
        <w:t>- 10 - 3.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