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WPR.2026.26 vom 26. März 2026</w:t>
      </w:r>
    </w:p>
    <w:p>
      <w:r>
        <w:t>AG Verwaltungsgericht, 2026-03-26, DE</w:t>
      </w:r>
    </w:p>
    <w:p>
      <w:r>
        <w:rPr>
          <w:b/>
        </w:rPr>
        <w:t xml:space="preserve">Quelle: </w:t>
      </w:r>
      <w:r>
        <w:t>https://mcp.opencaselaw.ch/entscheid/ag_verwaltungsgericht_WPR.2026.26</w:t>
      </w:r>
    </w:p>
    <w:p>
      <w:r>
        <w:t>FR: AG_VERWALTUNGSGERICHT WPR.2026.26 du 26 mars 2026</w:t>
      </w:r>
    </w:p>
    <w:p>
      <w:r>
        <w:t>IT: AG_VERWALTUNGSGERICHT WPR.2026.26 del 26 marzo 2026</w:t>
      </w:r>
    </w:p>
    <w:p>
      <w:pPr>
        <w:pStyle w:val="Heading2"/>
      </w:pPr>
      <w:r>
        <w:t>Erwägungen</w:t>
      </w:r>
    </w:p>
    <w:p>
      <w:r>
        <w:rPr>
          <w:b/>
        </w:rPr>
        <w:t>E. 2</w:t>
      </w:r>
    </w:p>
    <w:p>
      <w:r>
        <w:t>Die Haft begann am 25. März 2026, 07:58 Uhr. Sie wird in Anwendung von Art. 76 AIG für drei Monate bis zum 24. Juni 2026,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Das SEM lehnte das Asylgesuch des Gesuchsgegners mit Entscheid vom 19. November 2024 ab, wies diesen gleichzeitig aus der Schweiz weg und verpflichtete ihn, die Schweiz und den Schengen-Raum zu verlassen (MI- act. 17 ff.). Damit liegt ein rechtsgenüglicher Wegweisungsentscheid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3.</w:t>
      </w:r>
    </w:p>
    <w:p>
      <w:r>
        <w:rPr>
          <w:b/>
        </w:rPr>
        <w:t>E. 3</w:t>
      </w:r>
    </w:p>
    <w:p>
      <w:r>
        <w:t>Ich, RA Elena Liechti, sei als amtliche Vertretung einzusetzen und gemäss Kostennote zu entschädigen;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 mung konkrete Anzeichen befürchten lassen, dass sich eine Person der Ausschaffung entziehen will, ist aufgrund des ganzen bisherigen Verhal- 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 un- tertauchen will. Die blosse Vermutung, dass sie sich der Wegweisung ent-</w:t>
      </w:r>
    </w:p>
    <w:p>
      <w:r>
        <w:t>- 6 - ziehen könnte, genügt nicht; deren Vollzug muss erheblich gefährdet er- 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Spescha/Bolzli/de Weck/Hruschka/Priuli/Zünd [Hrsg.], Kommentar Migrationsrecht, 6. Aufl., Zürich 2026, N. 7 zu Art. 76 AIG; JANINE SERT, in: Caroni/Thurnherr [Hrsg.], Stämpflis Handkommentar zum Ausländer- und Integrationsgesetz [AIG], 2. Aufl., Bern 2024, N. 17 zu Art. 76).</w:t>
      </w:r>
    </w:p>
    <w:p>
      <w:r>
        <w:rPr>
          <w:b/>
        </w:rPr>
        <w:t>E. 3.2</w:t>
      </w:r>
    </w:p>
    <w:p>
      <w:r>
        <w:t>Der Gesuchsgegner war bereits aufgrund der Wegweisungsverfügung des SEM verpflichtet, die Schweiz und den Schengen-Raum zu verlassen (MI- act. 17 ff.). Auch innerhalb der vom SEM neu angesetzten Frist bis zum 19. Februar 2025 unterliess er es, die Schweiz zu verlassen (MI-act. 38). Zudem gab er im Rahmen der bisherigen Ausreisegespräche und des rechtlichen Gehörs beim MIKA an, er sei nicht zur Rückreise nach Burundi bereit (MI-act. 52, 90, 108). Gleich äusserte er sich anlässlich der Befra- gung durch das MIKA zur Gewährung des rechtlichen Gehörs betreffend die Anordnung einer Ausschaffungshaft und auch an der heutigen Ver- handlung (MI-act. 191; Protokoll S. 4, act. 40). Mit seiner stetigen Weigerung zur Ausreise setzte der Gesuchsgegner klare Anzeichen für eine Untertauchensgefahr und es ist nicht davon aus- zugehen, dass er die Schweiz nach einer Entlassung aus der Ausschaf- fungshaft freiwillig in Richtung Burundi verlassen würde. Daran vermag auch das Vorbringen der Vertreterin des Gesuchsgegners, dass sich der Gesuchsgegner gegenüber den Behörden stets kooperativ gezeigt habe, nichts zu ändern (Protokoll S. 6, act. 42). Zwar ist die akten- kundige Kooperation des Gesuchsgegner vorliegend unbestritten. Ebenso ist zutreffend, dass dem Gesuchsgegner nicht vorgeworfen werden kann, er habe den Flug vom B nicht angetreten, da er beim Betreten des Flugzeugs eine Panikattacke erlitt. Die Begründung der Un- tertauchensgefahr ergibt sich vorliegend jedoch aus dem Umstand, dass sich der Gesuchsgegner im gesamten bisherigen Verfahren und auch an- lässlich der heutigen Verhandlung dahingehend geäussert hat, dass er nicht zur Ausreise aus der Schweiz bereit sei, weshalb davon auszugehen</w:t>
      </w:r>
    </w:p>
    <w:p>
      <w:r>
        <w:t>- 7 - ist, dass er die Schweiz auch im Falle einer Haftentlassung nicht freiwillig verlassen würde. Der in diesem Zusammenhang von der Vertreterin des Gesuchsgegners gemachte Hinweis auf die bundesgerichtliche Rechtsprechung, wonach al- lein aus der Weigerung zur Ausreise nicht auf eine Untertauchensgefahr geschlossen werden könne, ist vorliegend insofern unzutreffend, als dass das Bundesgericht unmissverständlich festhielt, "dass ein Ausländer allein wegen der Äusserung, lieber in der Schweiz verbleiben als ins Ausland zu verreisen, nicht in Ausschaffungshaft genommen werden dürfe, solange er noch mit einem Rechtsmittel um sein Bleiberecht streite" (Urteil des Bun- desgerichts vom 15.12.2022, 2C_947/2020 Erw. 2.2.1. [Protokoll S. 6, act. 42]). Da im vorliegenden Verfahren bereits ein rechtskräftiger Asylent- scheid ergangen ist und somit kein Rechtsmittel mehr ergriffen werden kann, ist die Weigerung des Gesuchsgegners als klares Anzeichen für das Vorliegen einer Untertauchensgefahr zu werten, womit der Haftgrund von Art. 76 Abs. 1 lit. b Ziff. 3 und Ziff. 4 AIG erfüllt ist.</w:t>
      </w:r>
    </w:p>
    <w:p>
      <w:r>
        <w:rPr>
          <w:b/>
        </w:rPr>
        <w:t>E. 4</w:t>
      </w:r>
    </w:p>
    <w:p>
      <w:r>
        <w:t>Bezüglich der Haftbedingungen liegen keine Beanstandungen vor, die ge- eignet wären, die Haft als unverhältnismässig erscheinen zu lassen (Proto- koll S. 5 f., act. 41 f.).</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Die im Verfahren WPR.2025.89 bereits erstandene Haftdauer von 10 Tagen ist auf die ma- ximal zulässige Haftdauer anzurechnen. Im Übrigen ist festzuhalten, dass das MIKA bisher stets bemüht war, Ausschaffungen so rasch wie möglich zu vollziehen. Sollte das MIKA entgegen seiner bisherigen Gewohnheit das Beschleunigungsgebot verletzen, besteht die Möglichkeit, ein Haftentlas- sungsgesuch zu stellen.</w:t>
      </w:r>
    </w:p>
    <w:p>
      <w:r>
        <w:rPr>
          <w:b/>
        </w:rPr>
        <w:t>E. 7</w:t>
      </w:r>
    </w:p>
    <w:p>
      <w:r>
        <w:t>Abschliessend stellt sich die Frage, ob die Haftanordnung deshalb nicht zu bestätigen sei, weil sie im konkreten Fall gegen das Prinzip der Verhältnis- mässigkeit verstossen würde. Dass die Haft geeignet ist, die Wegweisung sicherzustellen, liegt auf der Hand und bedarf keiner weiteren Ausführun- gen. Gleiches gilt für die Notwendigkeit der Haft. Da Untertauchensgefahr</w:t>
      </w:r>
    </w:p>
    <w:p>
      <w:r>
        <w:t>- 8 - besteht, sind keine milderen Massnahmen ersichtlich, die Wegweisungs- vollzug sicherstellen könnten. Was die Verhältnismässigkeit im engeren Sinne anbelangt, ist im Rahmen einer Interessenabwägung zu prüfen, ob das öffentliche Interesse überwiegt. Grundsätzlich ist von einem grossen öffentlichen Interesse daran auszuge- hen, den Wegweisungsvollzug sicherzustellen und gegebenenfalls eine Ausschaffungshaft anzuordnen. Nachdem ein erster Ausschaffungsver- such aufgrund des Verhaltens des Gesuchsgegners gescheitert ist, erhöht sich das öffentliche Interesse markant, weshalb im konkreten Fall von ei- nem sehr grossen öffentlichen Interesse auszugehen ist. Zwar ist das pri- vate Interesse des Gesuchsgegners, bis zur Ausschaffung in Freiheit zu verbleiben, gewichtig, wird jedoch dadurch relativiert, dass die Wegwei- sung durch eine zeitnah anstehende Rückführung vollzogen werden kann. Da die Haft voraussichtlich lediglich wenige Wochen und nicht mehrere Mo- nate dauern wird und zudem erst im Zeitpunkt eines konkret vorbereiteten Vollzugs angeordnet wurde, besteht ein überwiegendes öffentliches Inte- resse an der Ausschaffungshaft, womit sie sich als verhältnismässig er- weist. Das Vorbringen der Vertreterin des Gesuchsgegners, wonach der Ge- suchsgegner von seiner Möglichkeit zum Untertauchen keinen Gebrauch gemacht habe, vermag nicht zu überzeugen und an der Verhältnismässig- keit der Ausschaffungshaft nichts zu ändern. Wie bereits dargelegt (siehe vorne unter Ziff. 3.2), begründet die Weigerung des Gesuchsgegners, nicht in sein Heimatland ausreisen zu wollen, bereits für sich allein eine gewich- tige Untertauchensgefahr und damit einen Haftgrund, welcher durch das bisherige Nichtuntertauchen nicht als weniger gewichtig erscheint. Dies gilt umso mehr als die Rückführung nun konkret ansteht. Bezüglich der familiären Verhältnisse ergeben sich keine Anhaltspunkte, welche gegen eine Haftanordnung sprechen würden. Der Gesuchsgegner macht auch nicht geltend, er sei nicht hafterstehungsfähig. III. 1. Gemäss § 28 Abs. 1 EGAR ist das Verfahren betreffend Haftüberprüfung unentgeltlich. Demgemäss werden keine Kosten erhoben. 2. Dem Gesuchsgegner ist gemäss § 27 Abs. 1 EGAR ein amtlicher Rechts- vertreter zu bestellen, wenn dieser noch keine selbstgewählte Rechtsver- tretung hat. Nach § 27 Abs. 2 EGAR ist eine amtliche Vertretung zwingend zu bestellen, wenn eine Haft für eine Dauer von mehr als 30 Tagen ange- ordnet wird. Der Gesuchsgegner verfügte bereits über eine selbstgewählte Rechtsvertretung in der Person von MLaw Elena Liechti, Rechtsanwältin,</w:t>
      </w:r>
    </w:p>
    <w:p>
      <w:r>
        <w:t>- 9 - welche den Gesuchsgegner bereits früher in migrationsrechtlichen Angele- genheiten vertreten hatte. Entsprechend ist keine amtliche Rechtsvertre- tung zu bestellen. Die selbstgewählte Vertreterin wurde überdies vorgängig darüber informiert, dass die Mandatsübernahme nicht zur Bestellung als amtliche Vertreterin führt und die Entschädigung der selbstgewählten Re- chtsvertretung durch den Gesuchsgegner zu erfolgen habe.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ff., Erw. I/4.3 ff.). Im Rahmen der Befragung zwecks Gewährung des rechtlichen Gehörs hat das MIKA dem Gesuchsgegner daher die Frage zu unterbreiten, ob er die Durchfüh- rung einer mündlichen Verhandlung wünscht und ob er in diesem Fall eine Präsenzverhandlung verlangt oder mit einer Verhandlung via Videotelefo- nie einverstanden ist (Urteil des Bundesgerichts 2C_846/2021 vom 19. No- 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