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WPR.2026.25 vom 2. April 2026</w:t>
      </w:r>
    </w:p>
    <w:p>
      <w:r>
        <w:t>AG Verwaltungsgericht, 2026-04-02, DE</w:t>
      </w:r>
    </w:p>
    <w:p>
      <w:r>
        <w:rPr>
          <w:b/>
        </w:rPr>
        <w:t xml:space="preserve">Quelle: </w:t>
      </w:r>
      <w:r>
        <w:t>https://mcp.opencaselaw.ch/entscheid/ag_verwaltungsgericht_WPR.2026.25</w:t>
      </w:r>
    </w:p>
    <w:p>
      <w:r>
        <w:t>FR: AG_VERWALTUNGSGERICHT WPR.2026.25 du 2 avril 2026</w:t>
      </w:r>
    </w:p>
    <w:p>
      <w:r>
        <w:t>IT: AG_VERWALTUNGSGERICHT WPR.2026.25 del 2 aprile 2026</w:t>
      </w:r>
    </w:p>
    <w:p>
      <w:pPr>
        <w:pStyle w:val="Heading2"/>
      </w:pPr>
      <w:r>
        <w:t>Erwägungen</w:t>
      </w:r>
    </w:p>
    <w:p>
      <w:r>
        <w:rPr>
          <w:b/>
        </w:rPr>
        <w:t>E. 2</w:t>
      </w:r>
    </w:p>
    <w:p>
      <w:r>
        <w:t>Kammer WPR.2026.25 / fg ZEMIS [***]; N [***] Urteil vom 2. April 2026 Besetzung Verwaltungsrichter Ch. Huber Gerichtsschreiber i.V. Galfetti Gesuchsteller Amt für Migration und Integration Kanton Aargau, Sektion Asyl und Rückkehr, Bahnhofstrasse 88, 5001 Aarau vertreten durch Christian Meier, Bahnhofstrasse 88, 5001 Aarau Gesuchsgegner A._____, geboren am tt.mm.jjjj, von der Türkei, z.Zt. im Zentrum für ausländerrechtliche Administrativhaft, 8058 Zürich amtlich vertreten durch lic. iur. Thomas Plüss, Rechtsanwalt, Zwischen den Toren 4, 5000 Aarau Gegenstand Ausschaffungshaft gestützt auf Art. 76 AIG / Haftüberprüfung</w:t>
      </w:r>
    </w:p>
    <w:p>
      <w:r>
        <w:t>- 2 - Der Einzelrichter entnimmt den Akten: A. Der Gesuchsgegner reiste gemäss eigenen Angaben am 21. August 2022 illegal in die Schweiz ein (Akten des Amts für Migration und Integration [MI- act.] 8). Gleichentags stellte er ein Asylgesuch (MI-act. 8). Dieses wurde durch das Staatssekretariat für Migration (SEM) am 25. Februar 2025 ab- gelehnt und der Gesuchsgegner gleichzeitig aus der Schweiz weggewie- sen und verpflichtet, die Schweiz und den Schengen-Raum bis am Tag nach Eintritt der Rechtskraft dieser Verfügung zu verlassen (MI-act. 58 ff.). Daraufhin erhob der Gesuchsgegner am 31. März 2025 Beschwerde beim Bundesverwaltungsgericht (MI-act. 96). Mit Schreiben vom 18. Juni 2025 wurde der Gesuchsgegner vom Amt für Migration und Integration Kanton Aargau (MIKA) zur Rückkehrberatung eingeladen (MI-act. 100). Der Gesuchsgegner kam dieser Einladung nicht nach und war für das MIKA nicht erreichbar (MI-act. 101). Die zuständige Asylbetreuung meldete dem MIKA, dass der Gesuchsgegner nicht mehr in der Asylunterkunft anwesend und als provisorisch vermisst gemeldet wor- den sei (MI-act. 101). Gemäss eigenen Angaben war der Gesuchsgegner zwischen Juni und Juli 2025 in die Niederlande gereist, um dort ein Asyl- gesuch einzureichen. Er kehrte eigenen Angaben zufolge einige Tage spä- ter selbständig in die Schweiz zurück (MI-act. 182 f.). Mit Urteil E-2234/2025 vom 23. Oktober 2025 wies das Bundesverwal- tungsgericht die Beschwerde des Gesuchsgegners ab, woraufhin der ne- gative Asylentscheid in Rechtskraft erwuchs (MI-act. 163 ff.). Am 29. Oktober 2025 setzte das SEM dem Gesuchgegner eine Ausreise- frist bis zum 28. November 2025 an (MI-act. 174). In der Folge fand am</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t>- 5 - Das SEM lehnte das Asylgesuch des Gesuchsgegners mit Entscheid vom 25. Februar 2025 ab, wies diesen gleichzeitig aus der Schweiz weg und verpflichtete ihn, die Schweiz und den Schengen-Raum zu verlassen (MI- act. 58 ff.). Mit Verfügung vom 2. April 2026 wies das MIKA den Gesuchs- gegner erneut aus der Schweiz und dem Schengen-Raum weg (MI- act. 248 ff.). Diese Verfügung wurde dem Gesuchsgegner gleichentags er- öffnet (MI-act. 251). Damit liegt ein rechtsgenüglicher Wegweisungsent- scheid vor.</w:t>
      </w:r>
    </w:p>
    <w:p>
      <w:r>
        <w:rPr>
          <w:b/>
        </w:rPr>
        <w:t>E. 2.3</w:t>
      </w:r>
    </w:p>
    <w:p>
      <w:r>
        <w:t>Gemäss Art. 80 Abs. 6 lit. a AIG ist die Haft zu beenden, wenn sich erweist, dass der Vollzug der Wegweisung aus rechtlichen oder tatsächlichen Grün- den undurchführbar ist. Im vorliegenden Fall sind keine Anzeichen vorhanden, die an der Ausschaf- fungsmöglichkeit in tatsächlicher oder rechtlicher Hinsicht Zweifel aufkom- men lassen würden. Solche wurden vom Gesuchsgegner auch nicht gel- tend gemacht.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w:t>
      </w:r>
    </w:p>
    <w:p>
      <w:r>
        <w:t>- 6 - Bestimmungen als einheitlicher Haftgrund zu betrachten sind (vgl. AN- DREAS ZÜND, in: Spescha/Bolzli/de Weck/Hruschka/Priuli/Zünd [Hrsg.], Kommentar Migrationsrecht, 6. Aufl., Zürich 2026, N. 7 zu Art. 76 AIG; JANINE SERT, in: Caroni/Thurnherr [Hrsg.], Stämpflis Handkommentar zum Ausländer- und Integrationsgesetz [AIG], 2. Aufl., Bern 2024, N. 17 zu Art. 76). 3.2. Der Gesuchsgegner war bereits aufgrund der Wegweisungsverfügung des SEM verpflichtet, die Schweiz und den Schengen-Raum zu verlassen (MI- act. 58 ff.). Nach der Ausreiseaufforderung des SEM vom 29. Oktober 2025 (MI-act. 174) verliess er zwar die Schweiz, nicht aber den Schengen-Raum, indem er am 1. Dezember 2025 zu seiner Freundin nach Deutschland reiste (MI-act. 199 ff.). Zudem hatte er bereits im Rahmen des Ausreisege- sprächs beim MIKA vom 6. November 2025 angegeben, er sei nicht zur Rückreise in die Türkei bereit (MI-act. 182). Gleich äusserte er sich anläss- lich der Befragung durch das MIKA zur Gewährung des rechtlichen Gehörs betreffend die Anordnung einer Ausschaffungshaft und auch an der heuti- gen Verhandlung (MI-act. 258; Protokoll S. 4, act. 35). Seine Ausreisen in die Niederlande und nach Deutschland, um in diesen Staaten jeweils ein weiteres Asylgesuch zu stellen (MI-act. 182, 258; Pro- tokoll S. 3, act. 34) erfolgten ohne Abmeldung beim MIKA und sind deshalb als Untertauchen zu qualifizieren. Das Vorbringen des Gesuchsgegners, er habe pflichtgemäss der Ausreiseverfügung Folge geleistet, greift nicht: Mit der Ausreise nach Deutschland hat der Gesuchsgegner zwar die Schweiz verlassen, den ebenfalls von der Wegweisungsverfügung des SEM erfass- ten Schengen-Raum jedoch nicht. Da er in Deutschland eine Freundin hat, die er bald heiraten will (Protokoll S. 3 ff., act. 34 ff.), ist davon auszugehen, dass er im Falle seiner Haftentlassung erneut nach Deutschland ausreisen würde. In Anbetracht all dieser Umstände ist nicht anzunehmen, dass er die Schweiz nach einer Entlassung aus der Ausschaffungshaft freiwillig ver- lassen und auf direktem Weg in die Türkei zurückkehren würde. Mit seiner beharrlichen Weigerung zur Ausreise in die Türkei, dem Auftre- ten als Asyltourist und dem mehrmaligen Untertauchen setzte der Ge- suchsgegner klare Anzeichen für eine Untertauchensgefahr. Daran vermag auch das Vorbringen des Gesuchsgegners nichts zu ändern, dass er bis auf das Gespräch zur Rückkehrberatung sämtliche Termine immer wahr- genommen habe (Protokoll S. 6, act. 37). Zwar ist die aktenkundige Koope- ration des Gesuchsgegners vorliegend weitestgehend unbestritten. Die Be- gründung der Untertauchensgefahr ergibt sich vorliegend jedoch aus den Umständen, dass er bereits untergetaucht war, als Asyltourist auftrat und sich im gesamten bisherigen Verfahren wie auch anlässlich der heutigen Verhandlung dahingehend geäussert hat, dass er nicht zur Ausreise aus der Schweiz in sein Heimatland Türkei bereit sei, weshalb davon auszuge-</w:t>
      </w:r>
    </w:p>
    <w:p>
      <w:r>
        <w:t>- 7 - hen ist, dass er die Schweiz im Falle einer Haftentlassung nicht freiwillig in Richtung Türkei verlassen würde. Nach dem Gesagten bestehen beim Gesuchsgegner klare Anzeichen für eine Untertauchensgefahr. Es ist unter diesen Umständen nicht davon aus- zugehen, dass der Gesuchsgegner nach einer Entlassung aus der Aus- schaffungshaft die Schweiz freiwillig auf direktem Weg in Richtung Türkei verlassen würde. Damit ist der Haftgrund von Art. 76 Abs. 1 lit. b Ziff. 3 und 4 AIG erfüllt. 4. Bezüglich der Haftbedingungen liegen keine Beanstandungen vor, die geeignet wären, die Haft als unverhältnismässig zu bezeichnen (Protokoll S. 5, act. 36). 5. 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Dass die Haft geeignet ist, die Wegweisung sicherzustellen, liegt auf der Hand und bedarf keiner weiteren Ausführun- gen. Gleiches gilt für die Notwendigkeit der Haft. Da Untertauchensgefahr besteht, sind keine milderen Massnahmen ersichtlich, die den Wegwei- sungsvollzug sicherstellen könnten. Was die Verhältnismässigkeit im en- geren Sinne anbelangt, ist im Rahmen einer Interessenabwägung zu prü- fen, ob das öffentliche Interesse überwiegt. Grundsätzlich ist von einem grossen öffentlichen Interesse daran auszuge- hen, den Wegweisungsvollzug sicherzustellen und gegebenenfalls eine Ausschaffungshaft anzuordnen. Nachdem der Gesuchsgegner bereits mehrfach untergetaucht ist, erhöht sich das öffentliche Interesse markant, weshalb im konkreten Fall von einem grossen öffentlichen Interesse aus-</w:t>
      </w:r>
    </w:p>
    <w:p>
      <w:r>
        <w:t>- 8 - zugehen ist. Zwar ist das private Interesse des Gesuchsgegners, bis zur Ausschaffung in Freiheit zu verbleiben, gewichtig, wird jedoch dadurch re- lativiert, dass die Wegweisung durch eine zeitnah anstehende Rückführung vollzogen werden kann (Protokoll S. 5, act. 36). Der Gesuchsgegner bringt vor, dass er demnächst seine in Deutschland wohnhafte Freundin heiraten wolle (Protokoll S. 3, act. 34). Die Ausschaf- fungshaft kann sich gemäss geltender Rechtsprechung bei einer bevorste- henden Heirat als unverhältnismässig erweisen, wenn sämtliche notwendi- gen Papiere vorliegen, ein Heiratstermin feststeht und innert kurzer Frist mit der Erteilung einer Aufenthaltsbewilligung zu rechnen ist (vgl. Urteile des Bundesgerichts 2C_218/2013 vom 26. März 2013, E. 5.2 und 2C_150/2012 vom 14. Februar 2012, E. 2.2.2 mit weiteren Hinweisen). Diese Voraussetzungen sind vorliegend nicht erfüllt. Nach eigenen Anga- ben benötigt der Gesuchsgegner für die Heirat einen Reisepass. Ein sol- cher werde ihm jedoch wegen seiner politischen Schwierigkeiten nicht aus- gestellt. Bestimmte Heiratsunterlagen seien bereits bei den zuständigen Behörden in Deutschland eingereicht worden. Ein konkreter Heiratstermin habe mangels vollständiger Dokumente bislang jedoch nicht festgelegt werden können (Protokoll S. 5, act. 36). Von einer kurz bevorstehenden Heirat, welche die Ausschaffungshaft als unverhältnismässig erscheinen lassen würde, kann somit nicht die Rede sein. Der Gesuchsgegner kann an der Ehevorbereitung zudem auch vom Heimatstaat aus mitwirken. Der Gesuchsgegner macht auch nicht geltend, er sei nicht hafterstehungs- 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das MIKA eine Haft für eine Dauer von mehr als 30 Tagen anordnete. Der Vertreter des Gesuchsgegners wird auf- 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w:t>
      </w:r>
    </w:p>
    <w:p>
      <w:r>
        <w:t>- 9 - 2. Soll die Haft gegebenenfalls verlängert werden, ist nicht zwingend eine Ver- handlung mit Parteibefragung durchzuführen (Aargauische Gerichts- und Verwaltungsentscheide [AGVE] 2009, S. 359 ff., Erw. I/4.3 ff.). Im Rahmen der Befragung zwecks Gewährung des rechtlichen Gehörs hat das MIKA dem Gesuchsgegner daher die Frage zu unterbreiten, ob er die Durchfüh- rung einer mündlichen Verhandlung wünscht und ob er in diesem Fall eine Präsenzverhandlung verlangt oder mit einer Verhandlung via Videotelefo- nie einverstanden ist (Urteil des Bundesgerichts 2C_846/2021 vom 19. No- 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