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WPR.2026.21 vom 12. März 2026</w:t>
      </w:r>
    </w:p>
    <w:p>
      <w:r>
        <w:t>AG Verwaltungsgericht, 2026-03-12, DE</w:t>
      </w:r>
    </w:p>
    <w:p>
      <w:r>
        <w:rPr>
          <w:b/>
        </w:rPr>
        <w:t xml:space="preserve">Quelle: </w:t>
      </w:r>
      <w:r>
        <w:t>https://mcp.opencaselaw.ch/entscheid/ag_verwaltungsgericht_WPR.2026.21</w:t>
      </w:r>
    </w:p>
    <w:p>
      <w:r>
        <w:t>FR: AG_VERWALTUNGSGERICHT WPR.2026.21 du 12 mars 2026</w:t>
      </w:r>
    </w:p>
    <w:p>
      <w:r>
        <w:t>IT: AG_VERWALTUNGSGERICHT WPR.2026.21 del 12 marzo 2026</w:t>
      </w:r>
    </w:p>
    <w:p>
      <w:pPr>
        <w:pStyle w:val="Heading2"/>
      </w:pPr>
      <w:r>
        <w:t>Erwägungen</w:t>
      </w:r>
    </w:p>
    <w:p>
      <w:r>
        <w:rPr>
          <w:b/>
        </w:rPr>
        <w:t>E. 2</w:t>
      </w:r>
    </w:p>
    <w:p>
      <w:r>
        <w:t>Kammer WPR.2026.21 / fg / dg / Bu ZEMIS [***]; N [***] Urteil vom 12. März 2026 Besetzung Verwaltungsrichter Busslinger, Vorsitz Gerichtsschreiber i.V. Grunder Rechtspraktikant Galfetti Gesuchsteller Amt für Migration und Integration Kanton Aargau, Sektion Asyl und Rückkehr, Bahnhofstrasse 88, 5001 Aarau vertreten durch Michael Hauser, Bahnhofstrasse 88, 5001 Aarau Gesuchsgegner A._____, geboren am tt.mm.jjjj, von der Türkei z.Zt. im Zentrum für ausländerrechtliche Administrativhaft, 8058 Zürich amtlich vertreten durch lic. iur. Burim Imeri, Rechtsanwalt, Schaffhauserstrasse 57, Postfach, 4332 Stein AG Gegenstand Ausschaffungshaft gestützt auf Art. 76 AIG / Haftüberprüfung</w:t>
      </w:r>
    </w:p>
    <w:p>
      <w:r>
        <w:t>- 2 - Der Einzelrichter entnimmt den Akten: A. Der Gesuchsgegner reiste am 27. Juli 2001 erstmals in die Schweiz ein und stellte am 24. Dezember 2001 ein Asylgesuch, welches mit Entscheid vom 7. Februar 2002 abgelehnt wurde (Akten des Amts für Migration und Integration [MI-act.] 311). Ab dem 15. Mai 2002 war der Gesuchsgegner unbekannten Aufenthalts (MI-act. 311). Eigenen Angaben zufolge hielt sich der Gesuchsgegner nach Erhalt des negativen Asylentscheids zuerst in Deutschland bei seiner Tante auf und kehrte anschliessend zurück in die Türkei (Protokoll S. 3, act. 36). Am 3. Februar 2016 reiste der Gesuchsgegner erneut in die Schweiz ein (MI-act. 28, 311) und heiratete gleichentags die in der Schweiz niederge- lassene EU-Bürgerin B._____ (MI-act. 172, 311). Am 30. März 2016 wurde ihm eine Aufenthaltsbewilligung EU/EFTA zwecks Verbleibs bei seiner Ehefrau erteilt (MI-act. 197, 258, 311). Mit Verfügung vom 2. März 2021 wurde sein Gesuch um Erteilung der Niederlassungsbewilligung aufgrund der hohen Schuldenlast des Gesuchsgegners abgelehnt (MI-act. 121 ff.). Nach der am 24. Mai 2021 erfolgten Trennung des Gesuchsgegners von seiner Ehefrau (MI-act. 111), widerrief die Migrationsbehörde des Kantons Solothurn mit Verfügung vom 25. April 2024 seine Aufenthaltsbewilligung EU/EFTA und wies ihn aus der Schweiz weg (MI-act. 196 ff.). Mit Urteil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10. März 2026 wies das MIKA den Gesuchsgegner aus der Schweiz weg und verpflichtete ihn, die Schweiz und den Schengen- Raum nach Haftentlassung umgehend zu verlassen (MI-act. 320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Gemäss Art. 76 Abs. 1 lit. b Ziff. 1 AIG i.V.m. Art. 75 Abs. 1 lit. c AIG kann eine Person zur Sicherstellung des Wegweisungsvollzugs in Haft genom- men werden, wenn sie trotz Einreiseverbot das Gebiet der Schweiz betritt und nicht sofort weggewiesen werden kann. Das SEM hat mit Verfügung vom 8. September 2025 gegen den Gesuchsgegner ein Einreiseverbot, gültig vom 16. September 2025 bis zum 15. September 2025, erlassen (MI-act. 257 ff.). Mit seiner illegalen Einreise in die Schweiz, welche gemäss seinen eigenen Angaben am 23. Februar 2026 erfolgte, hat der Gesuchsgegner gegen dieses Einreiseverbot verstossen. Damit ist der Haftgrund von Art. 76 Abs. 1 lit. b Ziff. 1 AIG i.V.m. Art. 75 Abs. 1 lit. c AIG erfüllt.</w:t>
      </w:r>
    </w:p>
    <w:p>
      <w:r>
        <w:t>- 6 - 3.2. Das MIKA stützt seine Haftanordnung weiter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Der Gesuchsgegner versuchte trotz Kenntnis des gegen ihn bestehenden Einreiseverbots erneut in die Schweiz einzureisen. Als dies über den Luftweg nicht möglich war, da ihn die Grenzkontrolle am Flughafen C._____ an der Einreise hinderte (vgl. MI-act. 284, 311), entschied sich der Gesuchsgegner mit dem Zug in die Schweiz einzureisen (MI-act. 315 f.). Nach der Verwicklung in einen Verkehrsunfall, entfernte sich der Gesuchsgegner am 6. März 2026 pflichtwidrig vom Unfallort (MI- act. 282 f.). Aufgrund seines früheren Verhaltens und seines Verhaltens nach dem Verkehrsunfall bietet der Gesuchsgegner keine Gewähr zur selbständigen Ausreise, womit der Haftgrund nach Art. 76 Abs. 1 lit. b Ziff. 3 und 4 AIG erfüllt ist.</w:t>
      </w:r>
    </w:p>
    <w:p>
      <w:r>
        <w:t>- 7 - 3.3. Zusammenfassend steht fest, dass die Haftgründe gemäss Art. 76 Abs. 1 lit. b Ziff. 1 AIG i.V.m. Art. 75 Abs. 1 lit. c AIG (Verstoss gegen ein Einreiseverbot) sowie gemäss Art. 76 Abs. 1 lit. b Ziff. 3 und 4 AIG (Untertauchensgefahr) erfüllt sind. 4. Bezüglich der Haftbedingungen liegen keine Beanstandungen vor (Protokoll S. 5, act. 38).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bei Vorliegen von Untertauchensgefahr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w:t>
      </w:r>
    </w:p>
    <w:p>
      <w:r>
        <w:t>- 8 -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5</w:t>
      </w:r>
    </w:p>
    <w:p>
      <w:r>
        <w:t>Juni 2025 wies das Bundesgericht die Beschwerde des Gesuchsgegners gegen den Widerruf der Aufenthaltsbewilligung EU/EFTA und die Wegweisung ab, womit der Entscheid in Rechtskraft erwuchs (MI- act. 224 ff.). Mit Verfügung vom 8. September 2025 verfügte das Staatssekretariat für Migration (SEM) gegen den Gesuchsgegner ein Einreiseverbot, gültig vom 16. September 2025 bis 15. September 2029 (MI-act. 257). Gleichentags reiste der Gesuchsgegner freiwillig aus der Schweiz aus (MI-act. 7, 311). Am 16. September 2025 versuchte der Gesuchsgegner über den Luftweg erneut in die Schweiz einzureisen. Am Flughafen C._____ stellte die Grenzkontrolle fest, dass gegen den Gesuchsgegner ein gültiges Einreiseverbot besteht, weshalb ihm die Einreise verweigert wurde und er wieder in die Türkei zurückkehren musste (MI-act. 284, 311). Am 19. September 2025 wurde die Ehe des Gesuchsgegners geschieden (MI-act. 261). Zwischen 2019 und 2025 ergingen diverse Strafbefehle gegen den Gesuchsgegner wegen Verstössen gegen das Strassen- verkehrsgesetz vom 19. Dezember 1958 (SVG; SR 741.01), das Bundes- gesetz über Lebensmittel und Gebrauchsgegenstände vom 20. Juni 2014 (Lebensmittelgesetz, LMG; SR 817.0), das Bundesgesetz über die</w:t>
      </w:r>
    </w:p>
    <w:p>
      <w:r>
        <w:t>- 3 - Ausländerinnen und Ausländer und über die Integration vom 16. Dezember 2005 (Ausländer- und Integrationsgesetz, AIG; SR 142.20) und das Gesetz über das Halten von Hunden vom 7. November 2006 (Hundegesetz; BGS 614.71) (MI-act. 79 f., 81 ff., 93 f., 160 ff., 207 ff., 254 ff.). Am 13. Oktober 2025 erhob der selbstgewählte Rechtsvertreter des Gesuchsgegners beim Bundesverwaltungsgericht Beschwerde gegen das Einreiseverbot, welche aktuell noch hängig ist. Der Beschwerde wurde keine aufschiebende Wirkung erteilt (MI-act. 305). Am 23. Februar 2026 reiste der Gesuchsgegner eigenen Angaben zufolge mit dem Zug von Bosnien via Italien wieder in die Schweiz ein (MI- act. 315 f.). Am 8. März 2026 wurde er nach einem Verkehrsunfall fest- genommen, nachdem er sich vom Unfallort entfernt hatte (MI-act. 268 ff.). Der Gesuchsgegner wurde gleichentags, zwecks Verbüssung einer Ersatz- freiheitsstrafe, im Bezirksgefängnis Q._____ inhaftiert (MI-act. 297). Nach Bezahlung der Restbusse wurde der Gesuchsgegner am 9. März 2026, 14.00 Uhr aus dem Strafvollzug entlassen und im Auftrag des MIKA gestützt auf § 12 des Einführungsgesetzes zum Ausländerrecht vom 25. November 2008 (EGAR; SAR 122.600) im Bezirksgefängnis Aarau inhaftiert (MI-act. 304, 315). B. Im Rahmen der Befragung durch das MIKA wurde dem Gesuchsgegner am</w:t>
      </w:r>
    </w:p>
    <w:p>
      <w:r>
        <w:rPr>
          <w:b/>
        </w:rPr>
        <w:t>E. 10</w:t>
      </w:r>
    </w:p>
    <w:p>
      <w:r>
        <w:t>März 2026 das rechtliche Gehör betreffend die Anordnung einer Aus- schaffungshaft gewährt (MI-act. 315 ff.). Im Anschluss an die Befragung wurde dem Gesuchsgegner die Anordnung der Ausschaffungshaft wie folgt eröffnet (act. 1): 1. Es wird eine Ausschaffungshaft angeordnet. 2. Die Haft begann am 9. März 2026, 14.00 Uhr. Sie wird in Anwendung von Art. 76 AIG für drei Monate bis zum 8. Juni 2026, 12.00 Uhr, angeordnet. 3. 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w:t>
      </w:r>
    </w:p>
    <w:p>
      <w:r>
        <w:t>- 4 - D. Der Gesuchsteller beantragte die Bestätigung der Haftanordnung (Protokoll S. 5, act. 38). Der Gesuchsgegner liess folgende Anträge stellen (Protokoll S. 5, act. 38): 1. Die angeordnete Ausschaffungshaft sei nicht zu bestätigen. Der Gesuchsgegner sei aus der Haft zu entlassen. 2. Unter Kosten- und Entschädigungsfolgen zzgl. MwST.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EGAR. Die Haftüber- prüfungsfrist beginnt mit der ausländerrechtlich motivierten Anhaltung der betroffenen Person zu laufen (vgl. BGE 127 II 174, Erw. 2. b/aa). 2. Im vorliegenden Fall wurde der Gesuchsgegner am 9. März 2026, 14.00 Uhr, aus dem Strafvollzug entlassen (MI-act. 304), und dem MIKA zugeführt. Die mündliche Verhandlung begann am 12. März 2026, 15.30 Uhr; das Urteil wurde um 16.00 Uhr eröffnet. Die richterliche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w:t>
      </w:r>
    </w:p>
    <w:p>
      <w:r>
        <w:t>- 5 -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