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WPR.2026.17 vom 19. Februar 2026</w:t>
      </w:r>
    </w:p>
    <w:p>
      <w:r>
        <w:t>AG Verwaltungsgericht, 2026-02-19, DE</w:t>
      </w:r>
    </w:p>
    <w:p>
      <w:r>
        <w:rPr>
          <w:b/>
        </w:rPr>
        <w:t xml:space="preserve">Quelle: </w:t>
      </w:r>
      <w:r>
        <w:t>https://mcp.opencaselaw.ch/entscheid/ag_verwaltungsgericht_WPR.2026.17</w:t>
      </w:r>
    </w:p>
    <w:p>
      <w:r>
        <w:t>FR: AG_VERWALTUNGSGERICHT WPR.2026.17 du 19 février 2026</w:t>
      </w:r>
    </w:p>
    <w:p>
      <w:r>
        <w:t>IT: AG_VERWALTUNGSGERICHT WPR.2026.17 del 19 febbraio 2026</w:t>
      </w:r>
    </w:p>
    <w:p>
      <w:pPr>
        <w:pStyle w:val="Heading2"/>
      </w:pPr>
      <w:r>
        <w:t>Erwägungen</w:t>
      </w:r>
    </w:p>
    <w:p>
      <w:r>
        <w:rPr>
          <w:b/>
        </w:rPr>
        <w:t>E. 2</w:t>
      </w:r>
    </w:p>
    <w:p>
      <w:r>
        <w:t>Die Haft begann am 18. Februar 2026, 10.17 Uhr. Sie wird in Anwendung von Art. 76 AIG für drei Monate bis zum 17. Mai 2026, 12.00 Uhr, angeord- net.</w:t>
      </w:r>
    </w:p>
    <w:p>
      <w:r>
        <w:rPr>
          <w:b/>
        </w:rPr>
        <w:t>E. 2.1</w:t>
      </w:r>
    </w:p>
    <w:p>
      <w:r>
        <w:t>Das MIKA begründet seine Haftanordnung damit, dass es den Gesuchs- gegner aus der Schweiz ausschaffen und mit der Haft den Vollzug sicher- 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4. März 2024 lehnte das SEM das Asylgesuch des Gesuchsgegners ab, wies ihn aus der Schweiz weg und verpflichtet ihn die Schweiz und den Schengen-Raum zu verlassen (MI-act. 33 ff.). Die dage- gen erhobene Beschwerde wies das Bundesverwaltungsgericht mit Urteil vom 16. Mai 2024 ab (MI-act. 52 ff.), womit der Wegweisungsentscheid des SEM in Rechtskraft erwachsen ist. Damit liegt ein rechtsgenüglicher Weg- weisungsentscheid vor. Darüber hinaus wies das SEM das Mehrfach- asylgesuch des Gesuchsgegners mit Entscheid vom 30. September 2025 ab (MI-act. 118 ff.) und das Bundesverwaltungsgericht trat auf die dagegen erhobene Beschwerde mit Entscheid vom 18. November 2025 nicht ein (MI-act. 142 ff.).</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Soweit der selbstgewählte Vertreter des Gesuchsgegners die Aussetzung des Vollzugs beantragt (act. 38), ist festzuhalten, dass das Verwaltungsge- richt diesbezüglich nicht zuständig ist. Im Übrigen deckt sich der Antrag des selbstgewählten Vertreters betreffend die Entlassung des Gesuchsgegners aus der Haft (act. 38) mit jenem des amtlichen Vertreters des Gesuchs- gegners, weshalb nachfolgend nicht weiter darauf einzugehen ist.</w:t>
      </w:r>
    </w:p>
    <w:p>
      <w:r>
        <w:rPr>
          <w:b/>
        </w:rPr>
        <w:t>E. 3</w:t>
      </w:r>
    </w:p>
    <w:p>
      <w:r>
        <w:t>Die Haft wird im Zentrum für ausländerrechtliche Administrativhaft Zürich (ZAA) oder im Gefängnis Bässlergut vollzogen. Soweit für die Befragung oder die Durchführung einer Haftverhandlung zwingend, erfolgt die Inhaf- tierung für die notwendige Dauer im Bezirksgefängnis Aarau. C. Anlässlich der heutigen Verhandlung vor dem Einzelrichter des Verwal- tungsgerichts wurden der Gesuchsteller und der Gesuchsgegner befragt. Der Vertreter des Gesuchstellers reichte anlässlich der heutigen Verhand- lung eine Kopie der Eingabe vom 19. Februar 2026 ein, die der Gesuchs- gegner durch seinen selbst gewählten Rechtsvertreter beim SEM einge- reicht hatte. Dieser beantragt die Aussetzung allfälliger Vollzugsmassnah- men sowie die Entlassung des Gesuchsgegners aus der Ausschaffungs- haft (act. 35 ff.). D. Der Gesuchsteller beantragte die Bestätigung der Haftanordnung (Proto- koll S. 3, act. 30). Der Gesuchsgegner liess folgenden Antrag stellen (Protokoll S. 4, act. 31):</w:t>
      </w:r>
    </w:p>
    <w:p>
      <w:r>
        <w:t>- 4 - Die mit Verfügung vom 18.02.2026 des Amts für Migration und Integration (MIKA) angeordnete Ausschaffungshaft nach Art. 76 AIG für drei Monate sei nicht zu bestätigen.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wurde der Gesuchsgegner am 18. Februar 2026, 10.17 Uhr, angehalten. Die mündliche Verhandlung begann am 19. Feb- ruar, 13.40 Uhr; das Urteil wurde um 14.00 Uhr eröffnet. Die richterliche Haftüberprüfung erfolgte somit innerhalb der Frist von 96 Stunden. II. 1. Wurde ein erstinstanzlicher Weg- oder Ausweisungsentscheid eröffnet oder wurde die betroffene Person mit einer erstinstanzlichen Landesver- weisung belegt, kann die zuständige kantonale Behörde die betroffene Per- 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(Strafvollzugsver- 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w:t>
      </w:r>
    </w:p>
    <w:p>
      <w:r>
        <w:t>- 6 - Ausschaffungshaft nicht rechtfertigen, kann dies aufgrund der Gesamtheit der Vorkommnisse der Fall sein. Erforderlich sind gewichtige Anhaltspunk- 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w:t>
      </w:r>
    </w:p>
    <w:p>
      <w:r>
        <w:rPr>
          <w:b/>
        </w:rPr>
        <w:t>E. 3.2</w:t>
      </w:r>
    </w:p>
    <w:p>
      <w:r>
        <w:t>Der Gesuchsgegner äusserte sich mehrfach anlässlich des Ausreisege- sprächs am 29. Januar 2026 und der Befragung zur Gewährung des recht- lichen Gehörs am 18. Februar 2026 gegenüber dem MIKA, dass er nicht bereit sei, in die Türkei zurückzukehren (MI-act. 157 f., 169). Auch anläs- slich der heutigen Verhandlung gab der Gesuchsgegner auf Nachfrage des Vorsitzenden zu Protokoll, er sei nicht bereit in sein Heimatland zurückzu- kehren (Protokoll S. 3, act. 30). Ausserdem galt der Gesuchsgegner seit dem 10 Juli 2024 als unbekannten Aufenthalts (MI-act. 94). Erst als das SEM ihm über seinen Vertreter mitteilen liess, dass sein eingereichtes Mehrfachasylgesuch nur behandelt werde, wenn er sich am Schalter des MIKA melde, nahm er am 10. März 2025 seinen Aufenthalt wieder auf (MI- act. 104, 109). Unter diesen Umständen und in Anbetracht des bisherigen Verhaltens des Gesuchsgegners ist davon auszugehen, dass sich der Gesuchsgegner nur so lange in der Asylunterkunft aufhalten würde, bis er aufgefordert werden würde, einen Flug in die Türkei anzutreten (vgl. Protokoll S. 4, act. 31). In der stetigen Weigerung, seiner Ausreisepflicht nachzukommen und dem Umstand, dass der Gesuchsgegner bereits einmal untergetaucht war, ist ein klares Anzeichen zu erkennen, dass sich der Gesuchsgegner der Ausschaffung entziehen will. Der Gesuchsgegner bietet nach Auffassung des Gerichts keine Gewähr zur freiwilligen Ausreise, womit der Haftgrund von Art. 76 Abs. 1 lit. b Ziff. 3 und 4 AIG erfüllt ist.</w:t>
      </w:r>
    </w:p>
    <w:p>
      <w:r>
        <w:t>- 7 -</w:t>
      </w:r>
    </w:p>
    <w:p>
      <w:r>
        <w:rPr>
          <w:b/>
        </w:rPr>
        <w:t>E. 4</w:t>
      </w:r>
    </w:p>
    <w:p>
      <w:r>
        <w:t>Bezüglich der Haftbedingungen liegen keine Beanstandungen vor, die geeignet wären, die Haft als unverhältnismässig zu bezeichnen (Protokoll S. 3, act. 30).</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 ordnung sprechen würden. Der Gesuchsgegner macht auch nicht geltend, er sei nicht hafterstehungsfähig und führt auch sonst nicht in genügender Weise aus, inwiefern die Haft unverhältnismässig wäre. Insgesamt sind keinerlei Gründe ersichtlich, welche die angeordnete Haft als unverhältnis- 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im Verfahren WPR.2026.17 einzureichen.</w:t>
      </w:r>
    </w:p>
    <w:p>
      <w:r>
        <w:t>- 8 -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 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