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WPR.2026.16 vom 20. Februar 2026</w:t>
      </w:r>
    </w:p>
    <w:p>
      <w:r>
        <w:t>AG Verwaltungsgericht, 2026-02-20, DE</w:t>
      </w:r>
    </w:p>
    <w:p>
      <w:r>
        <w:rPr>
          <w:b/>
        </w:rPr>
        <w:t xml:space="preserve">Quelle: </w:t>
      </w:r>
      <w:r>
        <w:t>https://mcp.opencaselaw.ch/entscheid/ag_verwaltungsgericht_WPR.2026.16</w:t>
      </w:r>
    </w:p>
    <w:p>
      <w:r>
        <w:t>FR: AG_VERWALTUNGSGERICHT WPR.2026.16 du 20 février 2026</w:t>
      </w:r>
    </w:p>
    <w:p>
      <w:r>
        <w:t>IT: AG_VERWALTUNGSGERICHT WPR.2026.16 del 20 febbraio 2026</w:t>
      </w:r>
    </w:p>
    <w:p>
      <w:pPr>
        <w:pStyle w:val="Heading2"/>
      </w:pPr>
      <w:r>
        <w:t>Erwägungen</w:t>
      </w:r>
    </w:p>
    <w:p>
      <w:r>
        <w:rPr>
          <w:b/>
        </w:rPr>
        <w:t>E. 2</w:t>
      </w:r>
    </w:p>
    <w:p>
      <w:r>
        <w:t>Kammer WPR.2026.16 / jr / Bu ZEMIS [***]; N [***] Urteil vom 20. Februar 2026 Besetzung Verwaltungsrichter Busslinger Gerichtsschreiberin Roder Gesuchsteller Amt für Migration und Integration Kanton Aargau, Sektion Asyl und Rückkehr, Bahnhofstrasse 88, 5001 Aarau vertreten durch Hatice Karadere, Bahnhofstrasse 88, 5001 Aarau Gesuchsgegner A._____, geboren am tt.mm.jjjj, von Algerien, alias B._____, geb. tt.mm.jjjj, von Algerien, alias C._____, geb. tt.mm.jjjj, von Algerien, z. Zt. im Zentrum für ausländerrechtliche Administrativhaft, 8058 Zürich amtlich vertreten durch lic. iur. Thomas Plüss, Rechtsanwalt, Zwischen den Toren 4, 5000 Aarau Gegenstand Ausschaffungshaft gestützt auf Art. 76 AIG / Haftverlängerung</w:t>
      </w:r>
    </w:p>
    <w:p>
      <w:r>
        <w:t>- 2 - Der Einzelrichter entnimmt den Akten: A. Ende Dezember 2022 reiste der Gesuchsgegner eigenen Angaben zufolge nach Italien und stellte dort ein Asylgesuch (Akten des Amts für Migration und Integration [MI-act.] 123). Am 6. Februar 2023 reiste der Gesuchsgegner illegal in die Schweiz ein und ersuchte am darauffolgenden Tag auch in der Schweiz um Asyl (MI- act. 122). Am 18. April 2023 trat das Staatssekretariat für Migration (SEM) auf das Asylgesuch nicht ein und wies den Gesuchsgegner nach Italien, den zuständigen Dublin-Mitgliedstaat, weg (act. 2). Am 18. April 2024 wurde der Gesuchsgegner vom Bezirksgericht Laufenburg wegen mehrfachen, teilweise versuchten Diebstahls, Hausfrie- densbruchs, geringfügigen Diebstahls sowie rechtwidriger Einreise und rechtswidrigen Aufenthalts zu einer Freiheitsstrafe von neun Monaten verurteilt und es wurde eine Landesverweisung für acht Jahre angeordnet (MI-act. 60 ff.). Am 14. Oktober 2024 wurde der Gesuchsgegner vom Bezirksgericht Aarau wegen mehrfachen, teilweise versuchten Diebstahls, Hausfriedensbruchs sowie Verweisungsbruchs zu einer Freiheitsstrafe von zwölf Monaten verurteilt und es wurde eine Landesverweisung für 20 Jahre angeordnet (MI-act. 130 ff.). Nachdem die Frist gemäss Dublin-Verfahren zur Überstellung des Ge- suchsgegners an die italienischen Behörden abgelaufen war, hob das SEM mit Verfügung vom 8. November 2024 seine Verfügung vom 18. April 2023 auf, ordnete die Wiederaufnahme des Asylverfahrens an und wies den Gesuchsgegner dem Kanton Aargau zu (MI-act. 117 ff.). Mit Entscheid vom 29. November 2024 lehnte das SEM das Asylgesuch des Gesuchsgegners ab und verwies für den Vollzug der Landesver- weisung auf das Amt für Migration und Integration Kanton Aargau (MIKA) (MI-act. 122 ff.). Dieser Entscheid erwuchs am 11. Dezember 2024 in Rechtskraft (MI-act. 154). Anlässlich des am 8. Januar 2025 geführten Ausreisegesprächs gab der Gesuchsgegner zu Protokoll, er sei nicht bereit, in seinen Heimatstaat zurückzukehren (MI-act. 162 ff.).</w:t>
      </w:r>
    </w:p>
    <w:p>
      <w:r>
        <w:t>- 3 - Ab dem 11. Juli 2025 galt der Gesuchsgegner als provisorisch vermisst (MI-act. 198). Zum für den 18. Juli 2025 geplanten Ausreisegespräch erschien der Gesuchsgegner nicht (MI-act. 192). Der Gesuchsgegner wurde am 25. Juli 2025 durch das algerische Generalkonsulat in Genf als A._____ identifiziert (MI-act. 193). Anlässlich einer Polizeikontrolle wurde der Gesuchsgegner am 18. August 2025 in Brugg aufgrund von Ausschreibungen im polizeilichen Fahndungs- system (RIPOL) verhaftet (MI-act. 203 ff.). In der Folge verbüsste er im Gefängnis Zürich West und im Vollzugszentrum Bachtel, Zürich, bis zum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vom 1. Dezember 2025 betreffend Anordnung der Ausschaffungshaft festgestellt wurde, liegen mit den Urteilen des Bezirksgerichts Laufenburg vom 18. April 2024 (MI-act. 60 ff.) und des Bezirksgerichts Aarau vom 14. Oktober 2024 (MI-act. 130 ff.) nicht nur zwei erstinstanzliche, sondern auch rechtskräftige Landesverweisungen von acht bzw. 20 Jahren vor.</w:t>
      </w:r>
    </w:p>
    <w:p>
      <w:r>
        <w:rPr>
          <w:b/>
        </w:rPr>
        <w:t>E. 2.3</w:t>
      </w:r>
    </w:p>
    <w:p>
      <w:r>
        <w:t>Gemäss Art. 80 Abs. 6 lit. a AIG ist die Haft zu beenden, wenn sich erweist, dass der Vollzug der Wegweisung oder der Landesverweisung aus rechtlichen oder tatsächlichen Gründen undurchführbar ist.</w:t>
      </w:r>
    </w:p>
    <w:p>
      <w:r>
        <w:t>- 6 - Der Vertreter des Gesuchsgegners bringt vor, dass sich der Gesuchsgegner in der Schweiz einer Rücken- und Hüftoperation habe unterziehen müssen, welche eine operative Nachbehandlung (Entfernung eines orthopädischen Metallimplantats) erfordere. Es sei einerseits unklar, ob die Spitäler in Algerien diese Operation durchführen könnten, andererseits wäre der Gesuchsgegner nicht in der Lage, die im Heimatland entstehenden Operationskosten zu tragen (act. 52), weshalb die Operation sinnvollerweise in der Schweiz durchzuführen sei. Die geltend gemachten medizinische Gründe führen nicht zur Undurchführbarkeit des Vollzugs der Landesverweisung. Eine solche wäre namentlich bei einer länger andauernden Transportunfähigkeit aus gesundheitlichen Gründen anzunehmen (BGE 125 II 217, Erw. 2, BGE 130 II 56, Erw. 4.1.3), wovon hier keine Rede sein kann. Entgegen dem Gesuchsgegner rechtfertigt sich entsprechend auch keine Haftentlassung (vgl. Entscheid des Verwaltungsgerichts WPR.2025.28 vom 18. März 2025, Erw. 2.3). Weitere Anzeichen, die an der Ausschaffungsmöglichkeit in rechtlicher oder tatsächlicher Hinsicht Zweifel aufkommen lassen würden, sind nicht ersichtlich. Im Gegenteil ist die Identität des Gesuchsgegners bestätigt und die Teilnahme am Counseling mit den algerischen Behörden am 29. Januar 2026 erfolgt (act. 3 und 4 f.). Sobald diesbezüglich die Rückmeldung der algerischen Behörden vorliegt, kann ein Ersatzreisedokument ausgestellt werden. Damit erscheint die Flugbuchung und die Ausschaffung des Gesuchsgegners nach Algerien, die gemäss Gesuchsteller sowohl unbegleitet (Deportee Unaccompanied; DEPU) als auch begleitet (Deportee Accompanied; DEPA) durchgeführt werden kann (Protokoll S. 4, act. 47), durchaus möglich.</w:t>
      </w:r>
    </w:p>
    <w:p>
      <w:r>
        <w:rPr>
          <w:b/>
        </w:rPr>
        <w:t>E. 3</w:t>
      </w:r>
    </w:p>
    <w:p>
      <w:r>
        <w:t>Die mit Urteil vom 1. Dezember 2025 festgestellten Haftgründe bestehen nach wie vor (vgl. WPR.2025.114, Erw. II/3.1/3.2; MI-act. 359 f.; vgl. ), äusserte der Gesuchsgegner doch letztmals anlässlich der Haftverhandlung vom 20. Februar 2026 seinen Unwillen, nach Algerien zurückzukehren (Protokoll S. 5, act. 49).</w:t>
      </w:r>
    </w:p>
    <w:p>
      <w:r>
        <w:rPr>
          <w:b/>
        </w:rPr>
        <w:t>E. 4</w:t>
      </w:r>
    </w:p>
    <w:p>
      <w:r>
        <w:t>Bezüglich der Haftbedingungen liegen keine Beanstandungen vor (Protokoll S. 3, act. 47).</w:t>
      </w:r>
    </w:p>
    <w:p>
      <w:r>
        <w:rPr>
          <w:b/>
        </w:rPr>
        <w:t>E. 5</w:t>
      </w:r>
    </w:p>
    <w:p>
      <w:r>
        <w:t>Es liegen auch keine Anzeichen dafür vor, dass das MIKA dem Beschleunigungsgebot (Art. 76 Abs. 4 AIG) nicht ausreichend Beachtung geschenkt hätte.</w:t>
      </w:r>
    </w:p>
    <w:p>
      <w:r>
        <w:t>- 7 -</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30. November 2025 – 28. Februar 2026). Die sechsmonatige Frist wird damit am 28. Mai 2026 enden und die Haft kann längstens bis zum 28. Mai 2026 verlängert werden.</w:t>
      </w:r>
    </w:p>
    <w:p>
      <w:r>
        <w:rPr>
          <w:b/>
        </w:rPr>
        <w:t>E. 6.3</w:t>
      </w:r>
    </w:p>
    <w:p>
      <w:r>
        <w:t>Das MIKA ordnete die Verlängerung der Ausschaffungshaft um weitere drei Monate, d.h. bis zum 28. Mai 2026,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Landesverweisung ist nicht ersichtlich. Die vom Vertreter des Gesuchsgegners geforderte periodische Meldepflicht kann den Vollzug der Landesverweisung in Anbetracht der erstellten Untertauchensgefahr nicht sicherstellen und fällt damit ausser Betracht.</w:t>
      </w:r>
    </w:p>
    <w:p>
      <w:r>
        <w:t>- 8 - Bezüglich der familiären Verhältnisse ergeben sich keine Anhaltspunkte, welche gegen eine Haftverlängerung sprechen würden. Der Gesuchsgegner macht auch nicht geltend, er sei nicht hafterstehungsfähig und führt, abgesehen von den unter Erw. II/2.3 hiervor behandelten medizinischen Gründen,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1. Dezember 2025 bestätigte amtliche Rechtsvertreter bleibt im Amt und kann seine Kostennote im Rahmen des Verfahrens WPR.2025.114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dem amtlichen Vertreter ausgehändigt und dem Gesuchsteller im Anschluss an die Verhandlung per E-Mail zugestellt.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