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WPR.2026.10 vom 2. Februar 2026</w:t>
      </w:r>
    </w:p>
    <w:p>
      <w:r>
        <w:t>AG Verwaltungsgericht, 2026-02-02, DE</w:t>
      </w:r>
    </w:p>
    <w:p>
      <w:r>
        <w:rPr>
          <w:b/>
        </w:rPr>
        <w:t xml:space="preserve">Quelle: </w:t>
      </w:r>
      <w:r>
        <w:t>https://mcp.opencaselaw.ch/entscheid/ag_verwaltungsgericht_WPR.2026.10</w:t>
      </w:r>
    </w:p>
    <w:p>
      <w:r>
        <w:t>FR: AG_VERWALTUNGSGERICHT WPR.2026.10 du 2 février 2026</w:t>
      </w:r>
    </w:p>
    <w:p>
      <w:r>
        <w:t>IT: AG_VERWALTUNGSGERICHT WPR.2026.10 del 2 febbraio 2026</w:t>
      </w:r>
    </w:p>
    <w:p>
      <w:pPr>
        <w:pStyle w:val="Heading2"/>
      </w:pPr>
      <w:r>
        <w:t>Erwägungen</w:t>
      </w:r>
    </w:p>
    <w:p>
      <w:r>
        <w:rPr>
          <w:b/>
        </w:rPr>
        <w:t>E. 2</w:t>
      </w:r>
    </w:p>
    <w:p>
      <w:r>
        <w:t>Kammer WPR.2026.10 / dg / ms ZEMIS [***]; N [***] Urteil vom 2. Februar 2026 Besetzung Verwaltungsrichterin Stierli, Vorsitz Gerichtsschreiber i.V. Grunder Gesuchsteller Amt für Migration und Integration Kanton Aargau, Sektion Asyl und Rückkehr, Bahnhofstrasse 88, 5001 Aarau vertreten durch lic. iur. Silvio Siegrist, Bahnhofstrasse 88, 5001 Aarau Gesuchsgegner A._____, geboren am tt.mm.jjjj, vom Irak z. Zt. im Zentrum für ausländerrechtliche Administrativhaft, 8058 Zürich amtlich vertreten durch Dr. iur. Marcel Buttliger, Rechtsanwalt, Kasinostrasse 30, 5001 Aarau Gegenstand Ausschaffungshaft gestützt auf Art. 76 AIG / Haftüberprüfung</w:t>
      </w:r>
    </w:p>
    <w:p>
      <w:r>
        <w:t>- 2 - Die Einzelrichterin entnimmt den Akten: A. Der Gesuchsgegner reiste am 1. August 2018 illegal in die Schweiz ein und stellte am Folgetag ein Asylgesuch (Akten des Amts für Migration und Integration [MI-act.] 11, 6). Mit Entscheid vom 2. Oktober 2018 lehnte das Staatssekretariat für Migration (SEM) das Asylgesuch des Gesuchsgegner ab, wies ihn aus der Schweiz weg und setzte ihm eine Frist bis zum 27. November 2018 an, um die Schweiz zu verlassen (MI-act. 22 ff.). Der Entscheid erwuchs am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Die Haftrichterin hat sich im Rahmen der Prüfung, ob die Ausschaffungs- haft rechtmässig ist, Gewissheit darüber zu verschaffen, ob ein erstinstanz- licher Weg- oder Ausweisungsentscheid eröffnet oder eine erstinstanzliche Landesverweisung ausgesprochen wurde (Art. 76 Abs. 1 AIG). Das SEM lehnte das Asylgesuch des Gesuchsgegners mit Entscheid vom 2. Oktober 2018 ab, wies ihn aus der Schweiz weg und setzte ihm eine Frist bis zum 27. November 2018 an, um die Schweiz zu verlassen (MI- act. 22 ff.). Aufgrund der zwischenzeitlichen Ausreise des Gesuchgegners nach Deutschland wurde die Wegweisung des SEM vom 2. Oktober 2018 jedoch konsumiert, weshalb das MIKA den Gesuchsgegner nach dessen Rücküberstellung in die Schweiz gestützt auf das Dublin-Verfahren mit Verfügung vom 6. August 2019 erneut wegwies (MI-act. 71 ff.). Damit liegt ein rechtsgenüglicher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Dass der Gesuchsgegner eine Einsprache gegen das Nichteintreten auf sein Wiedererwägungsgesuch betreffend Erteilung einer Aufenthalts- bewilligung erhoben habe (vgl. Protokoll S. 7, act. 37; vgl. Protokoll S. 4, act. 34), hindert den Vollzug der Wegweisung nicht, zumal aus den Akten nicht ersichtlich ist und auch nicht behauptet worden ist, dass dem Gesuchsgegner der prozedurale Aufenthalt im Sinne von Art. 17 AIG gestattet wurde. 3. 3.1. Das MIKA stützt seine Haftanordnung auf Art. 76 Abs. 1 lit. b Ziff. 3 AIG, wonach ein Haftgrund dann vorliegt, wenn konkrete Anzeichen befürchten lassen, dass sich die betroffene Person der Ausschaffung entziehen will,</w:t>
      </w:r>
    </w:p>
    <w:p>
      <w:r>
        <w:t>- 6 - insbesondere, weil sie der Mitwirkungspflicht nach Art. 90 AIG und Art. 8 Abs. 1 lit. a oder Art. 47 Abs. 1 des Asylgesetzes vom 26. Juni 1998 (AsylG, SR 142.31) nicht nachkommt. Ob im Sinne dieser Gesetzesbestim- mung konkrete Anzeichen befürchten lassen, dass sich eine Person der Ausschaffung entziehen will, ist aufgrund des ganzen bisherigen Verhal- 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 sung entziehen könnte, genügt nicht; deren Vollzug muss erheblich gefähr- 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3.2. Der Gesuchsgegner äusserte sich mehrfach anlässlich von Ausreisege- sprächen und Befragungen zur Gewährung des rechtlichen Gehörs dahin- gehend, dass er nicht bereit sei, in den Irak zurückzukehren (MI-act. 37, 43, 69, 107 f., 119 f., 126 f., 134, 296). Auch anlässlich der heutigen Verhandlung gab er erneut zu Protokoll, er sei aktuell nicht bereit, in sein Heimatland zurückzukehren (Protokoll S. 4, act. 34). Hinzu tritt der Umstand, dass der Gesuchsgegner in der Vergangenheit bereits einmal als verschwunden gemeldet worden war (MI-act. 55). In der stetigen Weigerung, seiner Ausreisepflicht nachzukommen, sowie dem früheren Untertauchen sind klare Anzeichen zu erkennen, dass sich der Gesuchsgegner einer Ausschaffung entziehen will. Nach Auffassung des Gerichts bietet der Gesuchsgegner aufgrund seiner Äusserungen und seines Verhaltens in der Vergangenheit keine Gewähr zur freiwilligen Ausreise, weshalb der Haftgrund nach Art. 76 Abs. 1 lit. b Ziff. 3 und 4 AIG erfüllt ist.</w:t>
      </w:r>
    </w:p>
    <w:p>
      <w:r>
        <w:t>- 7 - 4. Bezüglich der Haftbedingungen liegen keine Beanstandungen vor (Proto- koll S. 6, act. 36).</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 anordnung sprechen würden. Der Gesuchsgegner macht auch nicht gel- tend, er sei nicht hafterstehungsfähig. Entgegen der Auffassung des Gesuchsgegners lässt auch der Umstand, dass er eine Einsprache gegen das Nichteintreten auf sein Wiedererwägungsgesuch betreffend Erteilung einer Aufenthaltsbewilligung erhoben habe (vgl. Protokoll S. 7, act. 37; vgl. Protokoll S. 4, act. 34), die Haft nicht als unverhältnismässig erscheinen.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im Verfahren WPR.2026.10 einzureichen.</w:t>
      </w:r>
    </w:p>
    <w:p>
      <w:r>
        <w:t>- 8 -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Haftverlänge- 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