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WPR.2025.95 vom 25. September 2025</w:t>
      </w:r>
    </w:p>
    <w:p>
      <w:r>
        <w:t>AG Verwaltungsgericht, 2025-09-25, DE</w:t>
      </w:r>
    </w:p>
    <w:p>
      <w:r>
        <w:rPr>
          <w:b/>
        </w:rPr>
        <w:t xml:space="preserve">Quelle: </w:t>
      </w:r>
      <w:r>
        <w:t>https://mcp.opencaselaw.ch/entscheid/ag_verwaltungsgericht_WPR.2025.95</w:t>
      </w:r>
    </w:p>
    <w:p>
      <w:r>
        <w:t>FR: AG_VERWALTUNGSGERICHT WPR.2025.95 du 25 septembre 2025</w:t>
      </w:r>
    </w:p>
    <w:p>
      <w:r>
        <w:t>IT: AG_VERWALTUNGSGERICHT WPR.2025.95 del 25 settembre 2025</w:t>
      </w:r>
    </w:p>
    <w:p>
      <w:pPr>
        <w:pStyle w:val="Heading2"/>
      </w:pPr>
      <w:r>
        <w:t>Erwägungen</w:t>
      </w:r>
    </w:p>
    <w:p>
      <w:r>
        <w:rPr>
          <w:b/>
        </w:rPr>
        <w:t>E. 2</w:t>
      </w:r>
    </w:p>
    <w:p>
      <w:r>
        <w:t>Die Haft begann am 22. September 2025, 19:15 Uhr. Sie wird in An- wendung von Art. 76 AIG für 3 Monate bis zum 21. Dezember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Die Haftrichterin hat sich im Rahmen der Prüfung, ob die Ausschaffungs- haft rechtmässig ist, Gewissheit darüber zu verschaffen, ob ein erstin- stanzlicher Weg- oder Ausweisungsentscheid eröffnet oder eine erstin- stanzliche Landesverweisung ausgesprochen wurde (Art. 76 Abs. 1 AIG). Das SEM lehnte das Asylgesuch des Gesuchsgegners mit Entscheid vom 2. Oktober 2024 ab, wies ihn zugleich aus der Schweiz weg und ordnete an, dass der Gesuchsgegner die Schweiz und den Schengen-Raum bis zum 27. November 2024 verlassen müsse (MI-act. 24 ff.). Die dagegen erhobene Beschwerde wies das Bundesverwaltungsgericht mit Urteil D-6810/2024 vom 26. März 2025 ab (MI-act. 44 ff.), womit der ablehnende Asylentscheid in Rechtskraft erwuchs. Auf die zwei Revisionsgesuche des Beschwerdegegners trat das Bundesverwaltungsgericht nicht ein (Urteile des Bundesverwaltungsgerichts D-2815/2025 vom 12. Juni 2025 [MI- act. 107 ff.]; D-5216/2025 vom 11. August 2025 [MI-act. 132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Gesetzesbestimmung konkrete Anzeichen befürchten lassen, dass sich</w:t>
      </w:r>
    </w:p>
    <w:p>
      <w:r>
        <w:t>- 6 -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w:t>
      </w:r>
    </w:p>
    <w:p>
      <w:r>
        <w:rPr>
          <w:b/>
        </w:rPr>
        <w:t>E. 3.2</w:t>
      </w:r>
    </w:p>
    <w:p>
      <w:r>
        <w:t>Der Gesuchsgegner wurde mit ablehnendem Asylentscheid des SEM vom 2. Oktober 2024 aus der Schweiz weggewiesen und hätte die Schweiz und den Schengen-Raum bis zum 27. November 2024 bzw. – nach Abweisung der dagegen erhobenen Beschwerde durch das Bundesverwaltungs- gericht – bis zum 30. April 2025 verlassen müssen (MI-act. 24 ff.; 56). Dies hat er nicht getan. Darüber hinaus gab er mehrfach zu erkennen, dass er nicht bereit ist, seiner Ausreiseverpflichtung nachzukommen: Anlässlich des Ausreisegesprächs vom 14. Juli 2025 gab er zu Protokoll, er wolle nicht nach Kolumbien zurückkehren (MI-act. 115 f.). Am 19. August 2025 verweigerte er nicht nur die Entgegennahme der Fluginformationen (MI- act. 157), sondern erklärte darüber hinaus mehrfach, die Rückreise nach Kolumbien nicht antreten zu wollen (MI-act. 158), so dass der auf den 25. August 2025 gebuchte Flug annulliert werden musste (MI-act. 160). Zudem reichte er beim MIKA und beim SEM am 19. August 2025 ein Schreiben ein, in dem er ausdrücklich erklärte, nicht freiwillig nach Kolumbien zurückzureisen und kein entsprechendes Formular unter- zeichnen zu wollen (MI-act. 154 ff.). Schliesslich erklärte der Gesuchs- gegner anlässlich der Befragung zur Wahrung des rechtlichen Gehörs mehrfach, er könne nicht nach Kolumbien zurückreisen (MI-act. 172 ff.). Einzig eine Ausreise in einen Drittstaat, etwa nach Spanien, könne er sich</w:t>
      </w:r>
    </w:p>
    <w:p>
      <w:r>
        <w:t>- 7 - vorstellen (MI-act. 173). In dieser konsequenten Weigerung, seiner Aus- reisepflicht nachzukommen, ist ein klares Anzeichen dafür zu erkennen, dass sich der Gesuchsgegner der Ausschaffung entziehen will und nicht bereit ist, sich an behördliche Anweisungen zu halten, wenn sie den Weg- weisungsvollzug betreffen (vgl. BGE 140 II 1, Erw. 5.3; BGE 130 II 377, Erw. 3.2.2). Daran vermag nichts zu ändern, dass sich der Gesuchsgegner anlässlich der heutigen Verhandlung zu einer Ausreise nach Kolumbien bereiterklärte (Protokoll S. 3, act. 29). Er konnte dabei nicht glaubhaft darlegen, dass er seine Meinung in Bezug auf eine freiwillige Ausreise tatsächlich geändert hat. Vielmehr führte er aus, dass ihn die Haft belaste und er daher zur Ko- operation bereit sei (Protokoll S. 3, act. 29). Damit scheint seine angebliche Ausreisebereitschaft eher dem Wunsch zu entspringen, einer Fortdauer der Haft zu entgehen, als der effektiven Bereitschaft, die Schweiz eigenständig zu verlassen. Es ist demnach von einer reinen Schutzbehauptung auszu- gehen. Auch die im Rahmen der Befragung zur Gewährung des rechtlichen Gehörs geäusserte angebliche Bereitschaft des Gesuchsgegners, in einen Drittstaat auszureisen, ändert nichts an der festgestellten Untertauchens- gefahr. Zwar kann das MIKA eine ausreisepflichtige ausländische Person, die rechtmässig in mehrere Staaten ausreisen kann, gemäss Art. 69 Abs. 2 AIG in den Staat ihrer Wahl ausschaffen. Der Gesuchsgegner hat vor- liegend jedoch weder ein gültiges Visum vorgelegt noch belegt, dass er in einem Drittstaat über einen gültigen Aufenthaltstitel verfügt. Damit erscheint ein rechtmässiger Vollzug der Wegweisung in einen Drittstaat nicht möglich. Eine eigenmächtige Ausreise des Gesuchsgegners würde zudem eine unkontrollierte und irreguläre Ausreise darstellen, was wiede- rum selbst eine konkrete Untertauchensgefahr indiziert. Hinzu kommt, dass der Gesuchsgegner für einen unbegleiteten Rück- schaffungsflug am 30. September 2025 angemeldet worden ist (Protokoll S. 2, act. 28). Da sich der Ausschaffungsvollzug damit konkretisiert hat, wird die Untertauchensgefahr auch nicht dadurch relativiert, dass der Gesuchsgegner den Vorladungen des MIKA bislang stets nachgekommen ist und sich in der ihm zugewiesenen Unterkunft aufgehalten hat. Am 19. August 2025 verweigerte der Gesuchsgegner seine Mitwirkung nämlich just in jenem Moment, als er vorgeladen wurde, um die Ausreise- informationen entgegenzunehmen (MI-act. 154 ff.). Im Lichte dieses Verhaltens akzentuiert sich die Gefahr eines Untertauchens, nachdem sich der Vollzug der Wegweisung konkretisiert hat. In der Gesamtwürdigung ist von einer konkreten und inzwischen hin- reichend akzentuierten Untertauchensgefahr auszugehen. Damit ist nach</w:t>
      </w:r>
    </w:p>
    <w:p>
      <w:r>
        <w:t>- 8 - dem Gesagten der Haftgrund von Art. 76 Abs. 1 lit. b Ziff. 3 und 4 AIG erfüllt.</w:t>
      </w:r>
    </w:p>
    <w:p>
      <w:r>
        <w:rPr>
          <w:b/>
        </w:rPr>
        <w:t>E. 4</w:t>
      </w:r>
    </w:p>
    <w:p>
      <w:r>
        <w:t>Bezüglich der Haftbedingungen liegen keine Beanstandungen vor (Protokoll S. 5, act. 31).</w:t>
      </w:r>
    </w:p>
    <w:p>
      <w:r>
        <w:rPr>
          <w:b/>
        </w:rPr>
        <w:t>E. 5</w:t>
      </w:r>
    </w:p>
    <w:p>
      <w:r>
        <w:t>Es liegen auch keine Anzeichen dafür vor, dass das MIKA dem Be- 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Hinzu kommt, dass es der Gesuchsgegner in der Hand hat, die Haft am 30. September 2025 zu beenden, indem er den Rückschaffungsflug antritt (siehe vorne Erw. II/3.2).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w:t>
      </w:r>
    </w:p>
    <w:p>
      <w:r>
        <w:t>- 9 - aufgefordert, nach Haftentlassung des Gesuchsgegners seine Kostennote einzureichen. IV. 1. Der Gesuchsgegner wird darauf hingewiesen, dass ein Haftent- 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