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WPR.2025.94 vom 25. September 2025</w:t>
      </w:r>
    </w:p>
    <w:p>
      <w:r>
        <w:t>AG Verwaltungsgericht, 2025-09-25, DE</w:t>
      </w:r>
    </w:p>
    <w:p>
      <w:r>
        <w:rPr>
          <w:b/>
        </w:rPr>
        <w:t xml:space="preserve">Quelle: </w:t>
      </w:r>
      <w:r>
        <w:t>https://mcp.opencaselaw.ch/entscheid/ag_verwaltungsgericht_WPR.2025.94</w:t>
      </w:r>
    </w:p>
    <w:p>
      <w:r>
        <w:t>FR: AG_VERWALTUNGSGERICHT WPR.2025.94 du 25 septembre 2025</w:t>
      </w:r>
    </w:p>
    <w:p>
      <w:r>
        <w:t>IT: AG_VERWALTUNGSGERICHT WPR.2025.94 del 25 settembre 2025</w:t>
      </w:r>
    </w:p>
    <w:p>
      <w:pPr>
        <w:pStyle w:val="Heading2"/>
      </w:pPr>
      <w:r>
        <w:t>Erwägungen</w:t>
      </w:r>
    </w:p>
    <w:p>
      <w:r>
        <w:rPr>
          <w:b/>
        </w:rPr>
        <w:t>E. 2</w:t>
      </w:r>
    </w:p>
    <w:p>
      <w:r>
        <w:t>Die Haft begann am 22. September 2025, 19:15 Uhr. Sie wird in An- wendung von Art. 76 AIG für 3 Monate bis zum 21. Dezember 2025, 12.00 Uhr, angeordnet.</w:t>
      </w:r>
    </w:p>
    <w:p>
      <w:r>
        <w:rPr>
          <w:b/>
        </w:rPr>
        <w:t>E. 2.1</w:t>
      </w:r>
    </w:p>
    <w:p>
      <w:r>
        <w:t>Das MIKA begründet seine Haftanordnung damit, dass es die Gesuchs- gegnerin aus der Schweiz ausschaffen und mit der Haft den Vollzug sicherstellen wolle. Der Haftzweck ist damit erstellt.</w:t>
      </w:r>
    </w:p>
    <w:p>
      <w:r>
        <w:rPr>
          <w:b/>
        </w:rPr>
        <w:t>E. 2.2</w:t>
      </w:r>
    </w:p>
    <w:p>
      <w:r>
        <w:t>Die Haftrichterin hat sich im Rahmen der Prüfung, ob die Ausschaffungs- haft rechtmässig ist, Gewissheit darüber zu verschaffen, ob ein erstin- stanzlicher Weg- oder Ausweisungsentscheid eröffnet oder eine erstin- stanzliche Landesverweisung ausgesprochen wurde (Art. 76 Abs. 1 AIG). Das SEM lehnte das Asylgesuch der Gesuchsgegnerin mit Entscheid vom 2. Oktober 2024 ab, wies sie zugleich aus der Schweiz weg und ordnete an, dass die Gesuchsgegnerin die Schweiz und den Schengen-Raum bis zum 27. November 2024 verlassen müsse (MI-act. 24 ff.). Die dagegen erhobene Beschwerde wies das Bundesverwaltungsgericht mit Urteil D-6812/2024 vom 26. März 2025 ab (MI-act. 39 ff.), womit der ablehnende Asylentscheid in Rechtskraft erwuchs. Auf die zwei Revisionsgesuche der Beschwerdegegnerin trat das Bundesverwaltungsgericht nicht ein (Urteile des Bundesverwaltungsgerichts D-3013/2025 vom 12. Juni 2025 [MI- act. 72 ff.]; D-5217/2025 vom 11. August 2025 [MI-act. 104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Die Verfahrens- und Vollzugskosten seien auf die Staatskasse zu nehmen.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w:t>
      </w:r>
    </w:p>
    <w:p>
      <w:r>
        <w:t>- 6 -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 AIG).</w:t>
      </w:r>
    </w:p>
    <w:p>
      <w:r>
        <w:rPr>
          <w:b/>
        </w:rPr>
        <w:t>E. 3.2</w:t>
      </w:r>
    </w:p>
    <w:p>
      <w:r>
        <w:t>Die Gesuchsgegnerin hat sich anlässlich des Ausreisegesprächs vom 14. Juli 2025 sowie im Rahmen des Gesprächs zwecks Regelung der Ausreisemodalitäten vom 19. August 2025 dahingehend geäussert, dass sie nicht gewillt sei, nach Kolumbien zurückzukehren (MI-act. 80 f.; 122). Wie das MIKA in der Haftanordnung richtig ausführt, ist hierin nach der Rechtsprechung des Bundesgerichts grundsätzlich ein Anzeichen für das Vorliegen einer Untertauchensgefahr zu sehen (BGE 140 II 1, Erw. 5.3). Für die Beurteilung, ob Untertauchensgefahr vorliegt, sind jedoch sämtliche Aussagen und das gesamte Verhalten der betroffenen Person zu berücksichtigen. So hat sich die Gesuchsgegnerin – soweit ersichtlich – bisher stets in der ihr zugewiesenen Unterkunft aufgehalten und war nie unbekannten Aufenthalts (Plädoyer des Vertreters der Gesuchsgegnerin, act. 41; vgl. Urteil des Bundesgerichts 2C_478/2012 vom 14. Juni 2012, Erw. 2.2). Sie hat bislang sämtlichen Vorladungen Folge geleistet und ist den Behörden immer zur Verfügung gestanden (Protokoll S. 3, act. 32). Auch wenn sie sich zuvor gegenteilig geäusserte hatte, erklärte sie sich bereits anlässlich der Befragung zur Gewährung des rechtlichen Gehörs durch das MIKA am 23. September 2025 durchwegs bereit, die Schweiz in</w:t>
      </w:r>
    </w:p>
    <w:p>
      <w:r>
        <w:t>- 7 - Richtung Kolumbien zu verlassen. Sie erklärte ihr Aussageverhalten nachvollziehbar damit, dass sie nach wie vor Angst habe, nach Kolumbien zurückzukehren, und alle rechtlichen Möglichkeiten habe ausschöpfen wollen. Es sei ihr jedoch klar geworden, dass sie in der Schweiz kein Asyl erhalte und sie die Schweiz verlassen müsse. Sie habe keine Einreise- berechtigung für einen Drittstaat, weshalb ihr nur eine Rückkehr nach Kolumbien offenstehe (MI-act. 143 ff.). Anlässlich der heutigen Verhand- lung wiederholte sie diese Aussagen im Wesentlichen. Sie erklärte glaubhaft, auch wenn sie nach wie vor Angst habe, nach Kolumbien zurückzukehren, bleibe ihr keine andere Option. Sie sei bereit, die Rück- reise nach Kolumbien anzutreten (Protokoll S. 3 f., act. 32 f.). Vor diesem Hintergrund kann derzeit nicht mehr von einer hinreichend konkreten Unter- tauchensgefahr ausgegangen werden. Insgesamt bestehen damit keine hinreichend konkreten Anzeichen für das Vorliegen einer Untertauchensgefahr und ist der Haftgrund von Art. 76 Abs. 1 lit. b Ziff. 3 und 4 AIG daher nicht erfüllt. Da kein anderer Haftgrund ersichtlich ist, ist die angeordnete Ausschaffungshaft nicht zu bestätigen und die Gesuchsgegnerin unverzüglich aus der Haft zu entlassen. III.</w:t>
      </w:r>
    </w:p>
    <w:p>
      <w:r>
        <w:rPr>
          <w:b/>
        </w:rPr>
        <w:t>E. 4</w:t>
      </w:r>
    </w:p>
    <w:p>
      <w:r>
        <w:t>Dem amtlichen Rechtsvertreter sei eine angemessene Entschädigung zuzusprechen. Die Einzelrichterin zieht in Erwägung: I. 1. Das angerufene Gericht überprüft die Rechtmässigkeit und Ange- messenheit einer durch das MIKA angeordneten Ausschaffungshaft auf- 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2.b/aa). 2. Im vorliegenden Fall wurde die Gesuchsgegnerin am 22. September 2025, 19.15 Uhr, angehalten. Die mündliche Verhandlung begann am 25. September 2025, 15.30 Uhr; das Urteil wurde um 16.30 Uhr eröffnet. Die richterliche Haftüberprüfung erfolgte somit innerhalb der Frist von 96 Stunden. II. 1. Wurde ein erstinstanzlicher Weg- oder Ausweisungsentscheid eröffnet oder wurde die betroffene Person mit einer erstinstanzlichen Landes- verweisung belegt, kann die zuständige kantonale Behörde die betroffene Person zur Sicherstellung des Vollzugs in Haft nehmen (Art. 76 AIG). Zuständige kantonale Behörde im Sinne von Art. 76 Abs. 1 AIG ist – auch bei migrationsamtlichen Wegweisungen und bei Landesverweisungen gemäss § 89 der Verordnung über den Vollzug von Strafen und</w:t>
      </w:r>
    </w:p>
    <w:p>
      <w:r>
        <w:t>- 5 - Massnahmen vom 23. September 2020 (Strafvollzugsverordnung, SMV; SAR 253.112) – das MIKA (§ 13 Abs. 1 EGAR). Im vorliegenden Fall wurde die Haftanordnung durch das MIKA und damit durch die zuständige Behörde erlassen (act. 1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