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WPR.2025.90 vom 12. September 2025</w:t>
      </w:r>
    </w:p>
    <w:p>
      <w:r>
        <w:t>AG Verwaltungsgericht, 2025-09-12, DE</w:t>
      </w:r>
    </w:p>
    <w:p>
      <w:r>
        <w:rPr>
          <w:b/>
        </w:rPr>
        <w:t xml:space="preserve">Quelle: </w:t>
      </w:r>
      <w:r>
        <w:t>https://mcp.opencaselaw.ch/entscheid/ag_verwaltungsgericht_WPR.2025.90</w:t>
      </w:r>
    </w:p>
    <w:p>
      <w:r>
        <w:t>FR: AG_VERWALTUNGSGERICHT WPR.2025.90 du 12 septembre 2025</w:t>
      </w:r>
    </w:p>
    <w:p>
      <w:r>
        <w:t>IT: AG_VERWALTUNGSGERICHT WPR.2025.90 del 12 settembre 2025</w:t>
      </w:r>
    </w:p>
    <w:p>
      <w:pPr>
        <w:pStyle w:val="Heading2"/>
      </w:pPr>
      <w:r>
        <w:t>Erwägungen</w:t>
      </w:r>
    </w:p>
    <w:p>
      <w:r>
        <w:rPr>
          <w:b/>
        </w:rPr>
        <w:t>E. 2</w:t>
      </w:r>
    </w:p>
    <w:p>
      <w:r>
        <w:t>Die Haft begann am 10. September 2025, 07:20 Uhr. Sie wird in Anwendung von Art. 76 AIG für 3 Monate bis zum 9. Dezember 2025, 12.00 Uhr, angeordnet.</w:t>
      </w:r>
    </w:p>
    <w:p>
      <w:r>
        <w:rPr>
          <w:b/>
        </w:rPr>
        <w:t>E. 2.1</w:t>
      </w:r>
    </w:p>
    <w:p>
      <w:r>
        <w:t>Das MIKA begründet seine Haftanordnung damit, dass es den Gesuchsgegner aus der Schweiz ausschaffen und mit der Haft den Vollzug sicherstellen wolle. Der Haftzweck ist damit erstellt.</w:t>
      </w:r>
    </w:p>
    <w:p>
      <w:r>
        <w:t>- 5 -</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wies den Gesuchsgegner mit mittlerweile rechtskräftigem Entscheid vom 4. Januar 2022 aus der Schweiz weg (MI-act. 20 ff.). Zudem wurde der Gesuchsgegner mit rechtskräftigem Urteil des Bezirksgerichts Zurzach vom 16. Januar 2023 für sieben Jahre des Landes verwiesen (MI- act. 75 ff.). Damit liegt nicht nur eine erstinstanzliche, sondern sogar eine rechtskräftige Landesverweisung sowie ein rechtskräftiger Wegweisungs- entscheid vor. Die Voraussetzung von Art. 76 Abs. 1 AIG ist damit erfüllt.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 den. 3.</w:t>
      </w:r>
    </w:p>
    <w:p>
      <w:r>
        <w:rPr>
          <w:b/>
        </w:rPr>
        <w:t>E. 3</w:t>
      </w:r>
    </w:p>
    <w:p>
      <w:r>
        <w:t>Subeventualiter sei die Ausschaffungshaft auf einen Monat anzusetzen.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 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w:t>
      </w:r>
    </w:p>
    <w:p>
      <w:r>
        <w:t>- 6 -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 2019, N. 7 zu Art. 76 AIG; JANINE SERT, in: Caroni/Thurnherr [Hrsg.], Stämpflis Handkommentar zum Ausländer- und Integrationsgesetz [AIG], 2. Aufl. 2024, N. 17 zu Art. 76).</w:t>
      </w:r>
    </w:p>
    <w:p>
      <w:r>
        <w:rPr>
          <w:b/>
        </w:rPr>
        <w:t>E. 3.2</w:t>
      </w:r>
    </w:p>
    <w:p>
      <w:r>
        <w:t>Der Gesuchsgegner ist aufgrund der mittlerweile rechtskräftigen Wegweisungsverfügung des SEM vom 4. Januar 2022 verpflichtet, die Schweiz zu verlassen (MI-act. 20 ff., 95 ff.). Dies hat er nicht getan. Auch nachdem das SEM am 25. Juni 2025 die Ausreisefrist neu auf den 23. Juli 2025 ansetzte (MI-act. 113), reiste der Gesuchsgegner nicht aus. Anlässlich des Gesprächs mit der Rückkehrberatung vom 11. Juli 2025 erklärte sich der Gesuchsgegner zwar zur freiwilligen Ausreise bereit, gab jedoch an, zuvor noch einige Abklärungen tätigen zu müssen (MI-act. 119). Entgegen dem Vorbringen des Vertreters des Gesuchsgegners wusste der Gesuchsgegner somit, dass er die Schweiz verlassen musste. Bei der Befragung zur Gewährung des rechtlichen Gehörs durch das MIKA erklärte sich der Gesuchsgegner am 10. September 2025 jedoch nicht mehr bereit, die Schweiz in Richtung Türkei zu verlassen (MI-act. 145). Anlässlich der mündlichen Verhandlung vom 11. September 2025 äusserte sich der Gesuchsgegner widersprüchlich. Zum einen gab der Gesuchsgegner an, er wolle sicher in die Türkei zurückkehren und mit seinen Eltern leben (Protokoll S. 3, 5, act. 29, 31). Zum anderen gab er zu Protokoll, er habe sich noch nicht entschieden oder er könne sich eine Rückkehr aktuell nicht vorstellen (Protokoll S. 4 f., act. 30 f.). In seinen widersprüchlichen Aussagen ist keine effektive Ausreisebereitschaft erkennbar. In der stetigen Weigerung, der Ausreisepflicht trotz teilweise gegenteiligen Beteuerungen nachzukommen, ist vielmehr ein klares Anzeichen dafür zu erkennen, dass sich der Gesuchsgegner der Ausschaffung entziehen will. Es ist unter diesen Umständen nicht davon auszugehen, dass er nach einer Entlassung aus der Ausschaffungshaft die Schweiz auf direktem Weg freiwillig in Richtung Türkei verlassen würde. Damit ist der Haftgrund von Art. 76 Abs. 1 lit. b Ziff. 3 und Ziff. 4 AIG erfüllt.</w:t>
      </w:r>
    </w:p>
    <w:p>
      <w:r>
        <w:rPr>
          <w:b/>
        </w:rPr>
        <w:t>E. 4</w:t>
      </w:r>
    </w:p>
    <w:p>
      <w:r>
        <w:t>Bezüglich der Haftbedingungen beanstandet der Gesuchsgegner, dass ihm niemand geholfen habe, als er suizidale Gedanken gehabt und den Knopf für Hilfe gedrückt habe (Protokoll S. 4, act. 30). Sowohl im Zentrum für ausländerrechtliche Administrativhaft Zürich als auch im Gefängnis Bässlergut Basel hat der Gesuchsgegner jedoch Zugang zu medizinischer Versorgung. Gegebenenfalls kann seinen erhöhten Anforderungen an</w:t>
      </w:r>
    </w:p>
    <w:p>
      <w:r>
        <w:t>- 7 - psychologische Betreuung durch entsprechende Weisungen des MIKA gegenüber der Haftanstalt Rechnung getragen werden. Bezüglich der Haftbedingungen liegen somit keine Beanstandungen vor, die geeignet wären, die Haft als unverhältnismässig zu bezeichnen.</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Dem Eventualantrag des Vertreters des Gesuchsgegners, wonach die Wegweisung in X._____ abzuwarten sei, ist nicht zu folgen. Wie bereits ausgeführt, ist damit zu rechnen, dass sich der Gesuchsgegner im Falle einer Haftentlassung der Ausschaffung entziehen werde (vgl. Erw. II/3.2). Ebenso ist dem Subeventualantrag, wonach die Haft im Sinne eines milderen Mittels lediglich für einen Monat zu bestätigen sei, nicht zu folgen. Da für den Vollzug der Wegweisung ein Antrag ans Generalkonsulat notwendig sei und aufgrund seiner Vorgeschichte allenfalls nur begleitete Flüge möglich seien (Protokoll S. 4, act. 30), dauert der Vollzug der Ausschaffung mutmasslich länger als einen Monat. Bezüglich der familiären Verhältnisse ergeben sich keine Anhaltspunkte, welche gegen eine Haftanordnung sprechen würden. Der Gesuchsgegner macht aber geltend, er habe im Gefängnis immer wieder Krisen und wolle sich etwas antun, so habe er sich auch gestern den Kopf angeschlagen (Protokoll S.3 , act. 29). Zur Zeit der Verhandlung habe er aber keine suizidalen Gedanken (Protokoll S. 3, act. 29). Ausserdem gibt der Gesuchsgegner an, er habe ein Suchtproblem und in Kombination mit Medikamenten führe dies zu einem starken Herzschlag (Protokoll S.3, act. 29). Die Hafterstehungsfähigkeit wurde jedoch unmittelbar vor der Verhandlung im Auftrag des MIKA geprüft und bejaht (act. 34 ff.). Zudem wurde der Gesuchsgegner im Rahmen der Verhandlung darauf hingewiesen, dass er jederzeit medizinische Hilfe in</w:t>
      </w:r>
    </w:p>
    <w:p>
      <w:r>
        <w:t>- 8 - Anspruch nehmen könne (Protokoll S. 5, act. 31), dies gilt auch in Bezug auf den Umgang mit Medikamenten.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 längerung ist dem Verwaltungsgericht spätestens acht Arbeitstage vor Ablauf der bewilligten Haft einzureichen. 3. Das Dispositiv des vorliegenden Urteils wurde den Parteien am</w:t>
      </w:r>
    </w:p>
    <w:p>
      <w:r>
        <w:rPr>
          <w:b/>
        </w:rPr>
        <w:t>E. 12</w:t>
      </w:r>
    </w:p>
    <w:p>
      <w:r>
        <w:t>September 2025 per IncaMail zugestellt.</w:t>
      </w:r>
    </w:p>
    <w:p>
      <w:r>
        <w:t>- 9 -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