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WPR.2025.89 vom 10. September 2025</w:t>
      </w:r>
    </w:p>
    <w:p>
      <w:r>
        <w:t>AG Verwaltungsgericht, 2025-09-10, DE</w:t>
      </w:r>
    </w:p>
    <w:p>
      <w:r>
        <w:rPr>
          <w:b/>
        </w:rPr>
        <w:t xml:space="preserve">Quelle: </w:t>
      </w:r>
      <w:r>
        <w:t>https://mcp.opencaselaw.ch/entscheid/ag_verwaltungsgericht_WPR.2025.89</w:t>
      </w:r>
    </w:p>
    <w:p>
      <w:r>
        <w:t>FR: AG_VERWALTUNGSGERICHT WPR.2025.89 du 10 septembre 2025</w:t>
      </w:r>
    </w:p>
    <w:p>
      <w:r>
        <w:t>IT: AG_VERWALTUNGSGERICHT WPR.2025.89 del 10 settembre 2025</w:t>
      </w:r>
    </w:p>
    <w:p>
      <w:pPr>
        <w:pStyle w:val="Heading2"/>
      </w:pPr>
      <w:r>
        <w:t>Erwägungen</w:t>
      </w:r>
    </w:p>
    <w:p>
      <w:r>
        <w:rPr>
          <w:b/>
        </w:rPr>
        <w:t>E. 2</w:t>
      </w:r>
    </w:p>
    <w:p>
      <w:r>
        <w:t>Die Haft begann am 9. September 2025, 13:16 Uhr. Sie wird in Anwendung von Art. 76 AIG für 30 Tage bis zum 8. Oktober 2025, 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wurde (Art. 76 Abs. 1 AIG). Das SEM lehnte das Asylgesuch des Gesuchsgegners mit Entscheid vom 19. November 2024 ab, wies ihn zugleich aus der Schweiz weg und ordnete an, dass der Gesuchsgegner die Schweiz und den Schengen- Raum am Tag nach Eintritt der Rechtskraft des Entscheids verlassen müsse (MI-act. 17 ff.). Auf die dagegen erhobene Beschwerde trat das Bundesverwaltungsgericht mit Urteil E-8026/2024 vom 30. Januar 2025 nicht ein (MI-act. 33 ff.), womit der abgelehnte Asylentscheid mit Weg- weisungsverfügung in Rechtskraft erwuchs (MI-act. 38). Damit liegt ein rechtsgenüglicher Wegweisungsentscheid vor.</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 Vielmehr wurde der Gesuchsgegner beim SEM bereits für einen</w:t>
      </w:r>
    </w:p>
    <w:p>
      <w:r>
        <w:t>- 5 - begleiteten Rückflug angemeldet (MI-act. 99 f.). Ein Ersatzreisedokument wurde durch das Eidgenössische Justiz- und Polizeidepartement ausgestellt (Protokoll S. 3, act. 25).</w:t>
      </w:r>
    </w:p>
    <w:p>
      <w:r>
        <w:rPr>
          <w:b/>
        </w:rPr>
        <w:t>E. 3</w:t>
      </w:r>
    </w:p>
    <w:p>
      <w:r>
        <w:t>Die Haft wird im Zentrum für ausländerrechtliche Administrativhaft Zürich (ZAA) oder im Gefängnis Bässlergut Basel vollzogen. Soweit für die Befragung oder die Durchführung einer Haftverhandlung zwingend, erfolgt die Inhaftierung für die notwendige Dauer im Bezirksgefängnis Aarau. C. Anlässlich der heutigen Verhandlung vor dem Einzelrichter des Ver- waltungsgerichts wurden der Gesuchsteller und der Gesuchsgegner befragt. D. Der Gesuchsteller beantragte die Bestätigung der Haftanordnung (Protokoll S. 4, act. 26). Der Gesuchsgegner stellte sinngemäss folgende Anträge (Protokoll S. 4, act. 26): 1. Das Gesuch um Bestätigung der Haft sei abzuweisen. 2. Er sei aus der Haft zu entlassen. Der Einzelrichter zieht in Erwägung: I. 1. Das angerufene Gericht überprüft die Rechtmässigkeit und Angemessenheit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des Einführungsgesetzes zum Ausländerrecht vom 25. November 2008 [EGAR; SAR 122.600]). Die Haftüberprüfungsfrist beginnt mit der ausländerrechtlich motivierten Anhaltung der betroffenen Person zu laufen (vgl. BGE 127 II 174, Erw. 2. b/aa). 2. Im vorliegenden Fall wurde der Gesuchsgegner am 9. September 2025, 13.16 Uhr, angehalten. Die mündliche Verhandlung begann am 10. September 2025, 16.05 Uhr; das Urteil wurde um 16.30 Uhr eröffnet.</w:t>
      </w:r>
    </w:p>
    <w:p>
      <w:r>
        <w:t>- 4 - Die richterliche Haftüberprüfung erfolgte somit innerhalb der Frist von 96 Stunden. II. 1. Wurde ein erstinstanzlicher Weg- oder Ausweisungsentscheid eröffnet, kann die zuständige kantonale Behörde die betroffene Person zur Sicher- stellung des Vollzugs in Haft nehmen (Art. 76 AIG). Zuständige kantonale Behörde im Sinne von Art. 76 Abs. 1 AIG ist bei migrationsamtlichen Wegweisungen gemäss § 13 Abs. 1 EGAR und bei Landesverweisungen gemäss § 89 der Verordnung über den Vollzug von Strafen und Massnahmen vom 23. September 2020 (Strafvollzugsver- ordnung, SMV; SAR 253.112) das MIKA. Im vorliegenden Fall wurde die Haftanordnung durch das MIKA und damit durch die zuständige Behörde erlassen (act. 1 ff.). 2.</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Spescha/Zünd/Bolzli/Hruschka/de Weck [Hrsg.], Kommentar Migrationsrecht, 5. Aufl. 2019, N. 7 zu Art. 76 AIG JANINE SERT, in: Caroni/Thurnherr [Hrsg.], Stämpflis Handkommentar zum Ausländer- und Integrationsgesetz [AIG], 2. Aufl. 2024, N. 17 zu Art. 76).</w:t>
      </w:r>
    </w:p>
    <w:p>
      <w:r>
        <w:rPr>
          <w:b/>
        </w:rPr>
        <w:t>E. 3.2</w:t>
      </w:r>
    </w:p>
    <w:p>
      <w:r>
        <w:t>Der Gesuchsgegner war bereits aufgrund der Wegweisungsverfügung des SEM vom 19. November 2024 verpflichtet, die Schweiz zu verlassen (MI- act. 17 ff.). Dies hat er nicht getan. Auch innerhalb einer neuangesetzten Frist bis zum 19. Februar 2025 reiste der Gesuchsgegner nicht aus (MI- act. 38). Er gab im Rahmen der Ausreisegespräche beim MIKA stets an, er sei nicht zur Rückreise nach Burundi bereit (MI-act. 52, 90).</w:t>
      </w:r>
    </w:p>
    <w:p>
      <w:r>
        <w:t>- 6 - Auch anlässlich der Befragung durch das MIKA zur Gewährung des rechtlichen Gehörs betreffend Anordnung einer Ausschaffungshaft gab der Gesuchsgegner am 10. September 2025 zu Protokoll, er sei nicht zur Rück- kehr in sein Heimatland bereit (MI-act. 108 f.). Ebenso äusserte er sich an der heutigen Verhandlung (Protokoll S. 3, act. 25). In der stetigen Weigerung, seiner Ausreisepflicht nachzukommen, ist ein klares Anzeichen dafür zu erkennen, dass sich der Gesuchsgegner der Ausschaffung entziehen will. Aufgrund seines gesamten bisherigen Verhaltes ist nicht davon auszugehen ist, dass er nach einer Entlassung aus der Ausschaffungshaft die Schweiz selbständig in Richtung Burundi verlassen würde. Damit ist der Haftgrund von Art. 76 Abs. 1 lit. b Ziff. 3 und Ziff. 4 AIG erfüllt.</w:t>
      </w:r>
    </w:p>
    <w:p>
      <w:r>
        <w:rPr>
          <w:b/>
        </w:rPr>
        <w:t>E. 4</w:t>
      </w:r>
    </w:p>
    <w:p>
      <w:r>
        <w:t>Bezüglich der Haftbedingungen liegen keine Beanstandungen vor (Protokoll S. 3, act. 25).</w:t>
      </w:r>
    </w:p>
    <w:p>
      <w:r>
        <w:rPr>
          <w:b/>
        </w:rPr>
        <w:t>E. 5</w:t>
      </w:r>
    </w:p>
    <w:p>
      <w:r>
        <w:t>Es liegen auch keine Anzeichen dafür vor, dass das MIKA dem Beschleunigungsgebot (Art. 76 Abs. 4 AIG) nicht ausreichend Beachtung geschenkt hätte.</w:t>
      </w:r>
    </w:p>
    <w:p>
      <w:r>
        <w:rPr>
          <w:b/>
        </w:rPr>
        <w:t>E. 6</w:t>
      </w:r>
    </w:p>
    <w:p>
      <w:r>
        <w:t>Das MIKA ordnete die Ausschaffungshaft für 30 Tage an. Dies ist nicht zu beanstanden.</w:t>
      </w:r>
    </w:p>
    <w:p>
      <w:r>
        <w:rPr>
          <w:b/>
        </w:rPr>
        <w:t>E. 7</w:t>
      </w:r>
    </w:p>
    <w:p>
      <w:r>
        <w:t>Abschliessend stellt sich die Frage, ob die Haftanordnung deshalb nicht zu bestätigen sei, weil sie im konkreten Fall gegen das Prinzip der Verhältnis- mässigkeit verstossen würde. Eine mildere Massnahme zur Sicherstellung des Vollzugs der Wegweisung ist nicht ersichtlich. Bezüglich der familiären Verhältnisse ergeben sich keine Anhaltspunkte, welche gegen eine Haft- anordnung sprechen würden. Der Gesuchsgegner macht auch nicht geltend, er sei nicht hafterstehungsfähig. Insgesamt sind keinerlei Gründe ersichtlich, welche die angeordnete Haft als unverhältnismässig erscheinen liessen. III. Gemäss § 28 Abs. 1 EGAR ist das Verfahren betreffend Haftüberprüfung unentgeltlich. Demgemäss werden keine Kosten erhoben.</w:t>
      </w:r>
    </w:p>
    <w:p>
      <w:r>
        <w:t>- 7 - IV.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