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WPR.2025.85 vom 5. September 2025</w:t>
      </w:r>
    </w:p>
    <w:p>
      <w:r>
        <w:t>AG Verwaltungsgericht, 2025-09-05, DE</w:t>
      </w:r>
    </w:p>
    <w:p>
      <w:r>
        <w:rPr>
          <w:b/>
        </w:rPr>
        <w:t xml:space="preserve">Quelle: </w:t>
      </w:r>
      <w:r>
        <w:t>https://mcp.opencaselaw.ch/entscheid/ag_verwaltungsgericht_WPR.2025.85</w:t>
      </w:r>
    </w:p>
    <w:p>
      <w:r>
        <w:t>FR: AG_VERWALTUNGSGERICHT WPR.2025.85 du 5 septembre 2025</w:t>
      </w:r>
    </w:p>
    <w:p>
      <w:r>
        <w:t>IT: AG_VERWALTUNGSGERICHT WPR.2025.85 del 5 settembre 2025</w:t>
      </w:r>
    </w:p>
    <w:p>
      <w:pPr>
        <w:pStyle w:val="Heading2"/>
      </w:pPr>
      <w:r>
        <w:t>Erwägungen</w:t>
      </w:r>
    </w:p>
    <w:p>
      <w:r>
        <w:rPr>
          <w:b/>
        </w:rPr>
        <w:t>E. 1</w:t>
      </w:r>
    </w:p>
    <w:p>
      <w:r>
        <w:t>Gemäss § 28 Abs. 1 EGAR ist das Verfahren betreffend Haftüberprüfung unentgeltlich. Demgemäss werden keine Kosten erhoben.</w:t>
      </w:r>
    </w:p>
    <w:p>
      <w:r>
        <w:rPr>
          <w:b/>
        </w:rPr>
        <w:t>E. 2</w:t>
      </w:r>
    </w:p>
    <w:p>
      <w:r>
        <w:t>Soll die Haft gegebenenfalls verlängert werden, ist nicht zwingend eine wei- tere Verhandlung mit Parteibefragung durchzuführen (vgl. Aargauische Ge- 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 deotelefonie einverstanden ist (Urteil des Bundesgerichts 2C_846/2021 vom 19. November 2021). Die Anordnung einer allfälligen Haftverlänge- rung ist dem Verwaltungsgericht spätestens acht Arbeitstage vor Ablauf der bewilligten Haft einzureichen.</w:t>
      </w:r>
    </w:p>
    <w:p>
      <w:r>
        <w:rPr>
          <w:b/>
        </w:rPr>
        <w:t>E. 3</w:t>
      </w:r>
    </w:p>
    <w:p>
      <w:r>
        <w:t>Der vorliegende Entscheid wurde den Parteien zusammen mit einer kurzen Begründung anlässlich der heutigen Verhandlung mündlich eröffnet. Das Dispositiv wurde den Parteien im Anschluss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