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WPR.2025.82 vom 27. August 2025</w:t>
      </w:r>
    </w:p>
    <w:p>
      <w:r>
        <w:t>AG Verwaltungsgericht, 2025-08-27, DE</w:t>
      </w:r>
    </w:p>
    <w:p>
      <w:r>
        <w:rPr>
          <w:b/>
        </w:rPr>
        <w:t xml:space="preserve">Quelle: </w:t>
      </w:r>
      <w:r>
        <w:t>https://mcp.opencaselaw.ch/entscheid/ag_verwaltungsgericht_WPR.2025.82</w:t>
      </w:r>
    </w:p>
    <w:p>
      <w:r>
        <w:t>FR: AG_VERWALTUNGSGERICHT WPR.2025.82 du 27 août 2025</w:t>
      </w:r>
    </w:p>
    <w:p>
      <w:r>
        <w:t>IT: AG_VERWALTUNGSGERICHT WPR.2025.82 del 27 agosto 2025</w:t>
      </w:r>
    </w:p>
    <w:p>
      <w:pPr>
        <w:pStyle w:val="Heading2"/>
      </w:pPr>
      <w:r>
        <w:t>Erwägungen</w:t>
      </w:r>
    </w:p>
    <w:p>
      <w:r>
        <w:rPr>
          <w:b/>
        </w:rPr>
        <w:t>E. 2</w:t>
      </w:r>
    </w:p>
    <w:p>
      <w:r>
        <w:t>Die Haft begann am 26. August 2025, 13.05 Uhr. Sie wird in Anwendung von Art. 76 AIG für drei Monate bis zum 25. November 2025, 12.00 Uhr, angeordnet.</w:t>
      </w:r>
    </w:p>
    <w:p>
      <w:r>
        <w:t>- 4 -</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26. August 2025 wies das MIKA den Gesuchsgegner aus der Schweiz weg (MI-act. 1002 ff.). Diese Verfügung wurde dem Ge- suchsgegner gleichentags eröffnet (MI-act. 1005). Damit liegt ein rechts- genüglicher Wegweisungsentscheid vor.</w:t>
      </w:r>
    </w:p>
    <w:p>
      <w:r>
        <w:rPr>
          <w:b/>
        </w:rPr>
        <w:t>E. 2.3</w:t>
      </w:r>
    </w:p>
    <w:p>
      <w:r>
        <w:t>Gemäss Art. 80 Abs. 6 lit. a AIG ist die Haft zu beenden, wenn sich erweist, dass der Vollzug der Wegweisung aus rechtlichen oder tatsächlichen Grün- den undurchführbar ist.</w:t>
      </w:r>
    </w:p>
    <w:p>
      <w:r>
        <w:t>- 6 - Im vorliegenden Fall sind keine Anzeichen vorhanden, die an der Ausschaf- fungsmöglichkeit in tatsächlicher oder rechtlicher Hinsicht Zweifel aufkom- men lassen würden. Anlässlich der heutigen Verhandlung liess der Vertreter des MIKA verlauten, dass sowohl begleitete wie auch unbegleitete Flüge als Vollzugs- möglichkeiten nach Algerien bestünden (Protokoll S. 5, act. 37). Die Beschaffung von Ersatzreisedokumenten sei aufwendig, aber möglich (Protokoll S. 5, act. 37). 3.</w:t>
      </w:r>
    </w:p>
    <w:p>
      <w:r>
        <w:rPr>
          <w:b/>
        </w:rPr>
        <w:t>E. 3</w:t>
      </w:r>
    </w:p>
    <w:p>
      <w:r>
        <w:t>Eventualiter: Der Gesuchsgegner sei zu verpflichten, sich wöchentlich bei der Gesuchstellerin zu melden.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 mentar Migrationsrecht, 5. Aufl., Zürich 2019, N. 7 zu Art. 76 AIG; JANINE SERT, in: Caroni/Thurnherr [Hrsg.], Stämpflis Handkommentar zum Aus- länder- und Integrationsgesetz [AIG], 2. Aufl., Bern 2024, N. 17 zu Art. 76). Der Gesuchsgegner ist aufgrund der Wegweisungsverfügung des MIKA vom 26. August 2025 verpflichtet, die Schweiz zu verlassen (MI- act. 1007 ff.). Anlässlich der Gewährung des rechtlichen Gehörs durch das</w:t>
      </w:r>
    </w:p>
    <w:p>
      <w:r>
        <w:t>- 7 - MIKA erklärte sich der Gesuchsgegner am 26. August 2025 nicht bereit, die Schweiz in Richtung Algerien zu verlassen (MI-act. 995). Auch an der heutigen mündlichen Verhandlung gab der Gesuchsgegner an, er wolle nicht nach Algerien zurückkehren (Protokoll S. 7, act. 39). In der stetigen Weigerung der Ausreisepflicht nachzukommen, ist ein klares Anzeichen dafür zu erkennen, dass sich der Gesuchsgegner der Ausschaffung entziehen will. Hinzu kommt, dass sich der Gesuchsgegner bereits bei zwei früheren Ausschaffungen weigerte, in sein Heimatland zurückzukehren und aus- geschafft werden musste. Nach dem Gesagten steht im vorliegenden Fall fest, dass beim Gesuchs- gegner klare Anzeichen für eine Untertauchensgefahr bestehen. Es ist unter diesen Umständen nicht davon auszugehen, dass er nach einer Entlassung aus der Ausschaffungshaft die Schweiz auf direktem Weg freiwillig in Richtung Algerien verlassen würde. Damit ist der Haftgrund von Art. 76 Abs. 1 lit. b Ziff. 3 AIG erfüllt.</w:t>
      </w:r>
    </w:p>
    <w:p>
      <w:r>
        <w:rPr>
          <w:b/>
        </w:rPr>
        <w:t>E. 3.2</w:t>
      </w:r>
    </w:p>
    <w:p>
      <w:r>
        <w:t>Gemäss Art. 76 Abs. 1 lit. b Ziff. 1 AIG i.V.m. Art. 75 Abs. 1 lit. c AIG kann eine Person zur Sicherstellung des Wegweisungsvollzugs in Haft genom- men werden, wenn sie trotz Einreiseverbot das Gebiet der Schweiz betritt und nicht sofort weggewiesen werden kann. Das SEM hat mit Verfügung vom 1. November 2024 gegen den Gesuchs- gegner ein Einreiseverbot, gültig vom 15. November 2024 bis zum 14. No- vember 2028, erlassen (MI-act. 704 f.). Dass dieses Einreiseverbot unter der damals angegebenen falschen Identität erfolgte, ändert nichts daran, dass sich das Einreiseverbot gegen den Gesuchsgegner richtete. Zudem verfügte das SEM am 26. März 2025 die Verlängerung des bestehenden Einreiseverbots gegen den Gesuchsgegner, gültig vom 15. November 2028 bis zum 14. November 2030 (MI-act. 906 ff.). Mit seiner illegalen Einreise in die Schweiz, welche gemäss seinen eigenen Angaben am 24. August 2025 erfolgt ist, hat der Gesuchsgegner gegen dieses Einreiseverbot verstossen. Da er zudem bis heute keine gültigen Reisepapiere vorgelegt hat, ist ein sofortiger Vollzug der Wegweisung nicht möglich, da zuerst ein Ersatzreisedokument beschafft werden muss. Damit ist der Haftgrund von Art. 76 Abs. 1 lit. b Ziff. 1 AIG i.V.m. Art. 75 Abs. 1 lit. c AIG erfüllt. 4. Bezüglich der Haftbedingungen liegen keine Beanstandungen vor (Protokoll S. 5, act. 37).</w:t>
      </w:r>
    </w:p>
    <w:p>
      <w:r>
        <w:t>- 8 - 5. Es liegen auch keine Anzeichen dafür vor, dass das MIKA dem Be- schleunigungsgebot (Art. 76 Abs. 4 AIG) nicht ausreichend Beachtung geschenkt hätte.</w:t>
      </w:r>
    </w:p>
    <w:p>
      <w:r>
        <w:rPr>
          <w:b/>
        </w:rPr>
        <w:t>E. 4</w:t>
      </w:r>
    </w:p>
    <w:p>
      <w:r>
        <w:t>Dem Gesuchsgegner sei ab dem 2. September eine Woche Hafturlaub zu gewähren.</w:t>
      </w:r>
    </w:p>
    <w:p>
      <w:r>
        <w:rPr>
          <w:b/>
        </w:rPr>
        <w:t>E. 5</w:t>
      </w:r>
    </w:p>
    <w:p>
      <w:r>
        <w:t>Der amtliche Vertreter sei aus der Staatskasse zu entschädigen.</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 anordnung sprechen würden. Der Gesuchsgegner macht auch nicht geltend, er sei nicht hafterstehungsfähig. Der Gesuchsgegner bringt vor, die Haft sei unverhältnismässig, da er in Spanien lebe und einen Termin bei einer spanischen Behörde wahrnehmen müsse (Protokoll S. 4, act. 36). Dem kann nicht gefolgt werden. Entgegen der offenbar bestehenden Auffassung des Gesuchsgegners stellt ein bei einer spanischen Behörde wahrzunehmender Termin weder einen Aufent- haltstitel für noch eine Einreiseermächtigung nach Spanien dar. Bezüglich der behaupteten spanischen Aufenthaltsbewilligung legt der Gesuchs- gegner keine entsprechende Bewilligung vor und ergeht eine solche auch nicht aus den Akten. Hinzu kommt, dass der kürzlich gestellte Rücküber- nahmeantrag durch die spanischen Behörden abgelehnt wurde (MI- act. 875). Im Falle einer Haftentlassung wäre damit zu rechnen, dass der Gesuchsgegner die Schweiz illegal in Richtung Spanien verliesse und er damit gegen das gegen ihn verhängte Einreiseverbot, welches für das gesamte Gebiet der Schengen-Staaten und damit auch für Spanien gilt, verstossen würde (MI-act. 704, 906). Nach dem Gesagten erhellt, dass der beantragte Hafturlaub, welcher im Übrigen im Rahmen der Ausschaf- fungshaft nicht vorgesehen ist, nicht gewährt werden kann, da der Gesuchsgegner diesen für eine illegale Einreise nach Spanien miss- brauchen würde. Ebenso wenig wäre die Auferlegung einer Meldepflicht zielführend. Selbst wenn der Gesuchsgegner dieser Meldepflicht anfäng- lich nachkommen würde, bestünde die konkrete Gefahr des Unter- tauchens, sobald man dem Gesuchsgegner die Flugdaten für seinen</w:t>
      </w:r>
    </w:p>
    <w:p>
      <w:r>
        <w:t>- 9 - Rückflug nach Algerien bekannt gäbe. Sofern sich die spanischen Behörden wider Erwarten zur vom MIKA beantragten Rückübernahme des Gesuchsgegners bereit erklären (Protokoll S. 5 f., act. 37 f.), kann das MIKA den Gesuchsgegner immer noch nach Spanien ausschaffen (Art. 69 Abs. 2 AIG).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 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