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WPR.2025.75 vom 4. August 2025</w:t>
      </w:r>
    </w:p>
    <w:p>
      <w:r>
        <w:t>AG Verwaltungsgericht, 2025-08-04, DE</w:t>
      </w:r>
    </w:p>
    <w:p>
      <w:r>
        <w:rPr>
          <w:b/>
        </w:rPr>
        <w:t xml:space="preserve">Quelle: </w:t>
      </w:r>
      <w:r>
        <w:t>https://mcp.opencaselaw.ch/entscheid/ag_verwaltungsgericht_WPR.2025.75</w:t>
      </w:r>
    </w:p>
    <w:p>
      <w:r>
        <w:t>FR: AG_VERWALTUNGSGERICHT WPR.2025.75 du 4 août 2025</w:t>
      </w:r>
    </w:p>
    <w:p>
      <w:r>
        <w:t>IT: AG_VERWALTUNGSGERICHT WPR.2025.75 del 4 agosto 2025</w:t>
      </w:r>
    </w:p>
    <w:p>
      <w:pPr>
        <w:pStyle w:val="Heading2"/>
      </w:pPr>
      <w:r>
        <w:t>Erwägungen</w:t>
      </w:r>
    </w:p>
    <w:p>
      <w:r>
        <w:rPr>
          <w:b/>
        </w:rPr>
        <w:t>E. 2</w:t>
      </w:r>
    </w:p>
    <w:p>
      <w:r>
        <w:t>Die Haft begann am 31. Juli 2025,16.22 Uhr. Sie wird in Anwendung von Art. 76 AIG für drei Monate bis zum 30. Oktober 2025, 12.00 Uhr, ange- ordnet.</w:t>
      </w:r>
    </w:p>
    <w:p>
      <w:r>
        <w:t>- 3 -</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10. Februar 2025 lehnte das SEM das Asylgesuch des Gesuchsgegners ab und wies ihn aus der Schweiz weg (MI-act. 21 ff.). Die dagegen erhobene Beschwerde wies das Bundesverwaltungsgericht mit Urteil vom 24. April 2025 ab (MI-act. 40 ff.), womit der Wegweisungs- entscheid des SEM in Rechtskraft erwachsen ist (MI-act. 55). Da der Gesuchsgegner eigenen Angaben zufolge in der Zwischenzeit nach Deutschland ausgereist ist (MI-act. 75 f., 88), wurde der Wegweisungsent- scheid des SEM konsumiert, weshalb das MIKA den Gesuchsgegner mit Verfügung vom 1. August 2025 erneut aus der Schweiz sowie dem Schengen-Raum wegwies (MI-act. 84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- 5 - Es sind keine Anzeichen vorhanden, die an der Ausschaffungsmöglichkeit in tatsächlicher oder rechtlicher Hinsicht Zweifel aufkommen lassen würden. 3.</w:t>
      </w:r>
    </w:p>
    <w:p>
      <w:r>
        <w:rPr>
          <w:b/>
        </w:rPr>
        <w:t>E. 3</w:t>
      </w:r>
    </w:p>
    <w:p>
      <w:r>
        <w:t>Eventualiter: Die Haft sei nur für einen Monat zu bestätigen.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 sierung von Art. 76 Abs. 1 lit. b Ziff. 3 AIG zu verstehen, womit die beiden Bestimmungen als einheitlicher Haftgrund zu betrachten sind (vgl. ANDREAS ZÜND, in: Spescha/Zünd/Bolzli/Hruschka/de Weck [Hrsg.], Kom- mentar Migrationsrecht, 5. Aufl., Zürich 2019, N. 7 zu Art. 76 AIG; JANINE SERT, in: Caroni/Thurnherr [Hrsg.], Stämpflis Handkommentar zum Aus- länder- und Integrationsgesetz [AIG], 2. Aufl., Bern 2024, N. 17 zu Art. 76).</w:t>
      </w:r>
    </w:p>
    <w:p>
      <w:r>
        <w:rPr>
          <w:b/>
        </w:rPr>
        <w:t>E. 3.2</w:t>
      </w:r>
    </w:p>
    <w:p>
      <w:r>
        <w:t>Der Gesuchsgegner war bereits aufgrund der Wegweisungsverfügung des SEM vom 5. Mai 2025 verpflichtet, die Schweiz und den Schengenraum bis am 30. Mai 2025 zu verlassen (MI-act. 55). Nach der Ansetzung der neuen Ausreisefrist galt der Gesuchsgegner als unbekannten Aufenthalts (MI- act. 70, 72). Anlässlich einer Personenkontrolle wies sich der Gesuchs- gegner gegenüber der Kantonspolizei Aargau am 31. Juli 2025 mit einer gefälschten bulgarischen Identitätskarte aus (MI-act. 75). Ab diesem Zeit-</w:t>
      </w:r>
    </w:p>
    <w:p>
      <w:r>
        <w:t>- 6 - punkt äusserte der Gesuchsgegner zum einen, er wolle nicht in sein Heimatland zurückkehren, zum anderen erklärte aber seine Bereitschaft zur Rückkehr: Bei der polizeilichen Einvernahme äusserte der Gesuchs- gegner zunächst, auf keinen Fall in die Türkei zurückkehren zu können (MI- act. 74). Anlässlich der Gewährung des rechtlichen Gehörs durch das MIKA gab der Gesuchsgegner zunächst erneut zu Protokoll, er sei nicht zur Rückkehr in sein Heimatland bereit (MI-act. 89). Im Laufe des Gesprächs äusserte er jedoch seine Bereitschaft, in sein Heimatland zurückzukehren, da er keine andere Wahl habe (MI-act. 89). Dies betonte er in der heutigen Verhandlung erneut (Protokoll S. 3, act. 31). Aufgrund seines bisherigen Verhaltens erscheint seine anlässlich der Gewährung des rechtlichen Gehörs durch das MIKA sowie der heutigen Verhandlung geäusserte Bereitschaft zur Rückkehr in die Türkei als blosse Schutzbehauptung, um die drohende Ausschaffungshaft abzuwenden. Dies insbesondere deshalb, weil der Gesuchsgegner nach Ansetzung der neuen Ausreisefrist unbe- kannten Aufenthalts war und am 27. Mai 2025 nicht zum angesetzte Ausreisegespräch erschienen ist. Zudem wies er sich anlässlich der Personenkontrolle gegenüber der Kantonspolizei Aargau mit einem gefälschten Ausweis aus. Hinzu kommt, dass er seine türkischen Reise- dokumente verbrannte bzw. entsorgte, offenbar mit dem Ziel, seine Identi- tät zu verschleiern (MI-act. 75 f., 89). Zuletzt hat der Gesuchsgegner hat nachweislich wiederholt geäussert, dass er auf keinen Fall in sein Heimat- land zurück könne bzw. wolle (MI-act. 74, 79, 89). Von einer effektiven Ausreisebereitschaft kann keine Rede sein (Protokoll S. 4, act. 32). Damit ist der Haftgrund von Art. 76 Abs. 1 lit. b Ziff. 3 und 4 AIG erfüllt. 4. Bezüglich der Haftbedingungen liegen keine Beanstandungen vor, die geeignet wären, die Haft als unverhältnismässig zu bezeichnen (Protokoll S. 3, act. 31).</w:t>
      </w:r>
    </w:p>
    <w:p>
      <w:r>
        <w:rPr>
          <w:b/>
        </w:rPr>
        <w:t>E. 4</w:t>
      </w:r>
    </w:p>
    <w:p>
      <w:r>
        <w:t>Der amtliche Vertreter sei aus der Staatskasse zu entschädigen.</w:t>
      </w:r>
    </w:p>
    <w:p>
      <w:r>
        <w:rPr>
          <w:b/>
        </w:rPr>
        <w:t>E. 5</w:t>
      </w:r>
    </w:p>
    <w:p>
      <w:r>
        <w:t>Es liegen auch keine Anzeichen dafür vor, dass das MIKA dem Be- 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t>- 7 -</w:t>
      </w:r>
    </w:p>
    <w:p>
      <w:r>
        <w:rPr>
          <w:b/>
        </w:rPr>
        <w:t>E. 7</w:t>
      </w:r>
    </w:p>
    <w:p>
      <w:r>
        <w:t>Abschliessend stellt sich die Frage, ob die Haftanordnung deshalb nicht zu bestätigen sei, weil sie im konkreten Fall gegen das Prinzip der Ver- hältnismässigkeit verstossen würde. Eine mildere Massnahme zur Sicher- 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 nicht aus, inwiefern die Haft unverhältnismässig wäre. Dem Eventualantrag des Vertreters des Gesuchsgegners, wonach die Haft im Sinne eines milderen Mittels lediglich für 30 Tage zu bestätigen sei, ist nicht zu folgen. Da der Gesuchsgegner seine türkischen Reisedokumente vernichtet hat, muss für ihn ein Ersatzreisedokument beschafft werden, wobei dies und die an- schliessende Ausschaffung mutmasslich länger als 30 Tage dauern wird. Insgesamt sind folglich keinerlei Gründe ersichtlich, welche die angeord- 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w:t>
      </w:r>
    </w:p>
    <w:p>
      <w:r>
        <w:t>- 8 - 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