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WPR.2025.74 vom 31. Juli 2025</w:t>
      </w:r>
    </w:p>
    <w:p>
      <w:r>
        <w:t>AG Verwaltungsgericht, 2025-07-31, DE</w:t>
      </w:r>
    </w:p>
    <w:p>
      <w:r>
        <w:rPr>
          <w:b/>
        </w:rPr>
        <w:t xml:space="preserve">Quelle: </w:t>
      </w:r>
      <w:r>
        <w:t>https://mcp.opencaselaw.ch/entscheid/ag_verwaltungsgericht_WPR.2025.74</w:t>
      </w:r>
    </w:p>
    <w:p>
      <w:r>
        <w:t>FR: AG_VERWALTUNGSGERICHT WPR.2025.74 du 31 juillet 2025</w:t>
      </w:r>
    </w:p>
    <w:p>
      <w:r>
        <w:t>IT: AG_VERWALTUNGSGERICHT WPR.2025.74 del 31 luglio 2025</w:t>
      </w:r>
    </w:p>
    <w:p>
      <w:pPr>
        <w:pStyle w:val="Heading2"/>
      </w:pPr>
      <w:r>
        <w:t>Erwägungen</w:t>
      </w:r>
    </w:p>
    <w:p>
      <w:r>
        <w:rPr>
          <w:b/>
        </w:rPr>
        <w:t>E. 2</w:t>
      </w:r>
    </w:p>
    <w:p>
      <w:r>
        <w:t>Im vorliegenden Fall wurde die bestehende Haft bis zum 6. August 2025 bestätigt (Entscheid des Verwaltungsgerichts WPR.2025.41 vom 29. April 2025; MI-act. 509 ff.). Das MIKA ordnete am 24. Juli 2025 eine Haftver- längerung um weitere drei Monate an (act. 1 ff.). Am 28. Juli 2025 verzich- tete der Gesuchsgegner auf eine mündliche Haftüberprüfung (act. 14). Die heutige Überprüfung der Haftverlängerung erfolgt somit ohne mündliche Verhandlung und vor Ablauf der bereits bewilligten Haft. II. 1. Wurde ein erstinstanzlicher Weg- oder Ausweisungsentscheid eröffnet oder wurde die betroffene Person mit einer erstinstanzlichen Landesver- weisung belegt, kann die zuständige kantonale Behörde die betroffene Person zur Sicherstellung des Vollzugs in Haft nehmen bzw. bei</w:t>
      </w:r>
    </w:p>
    <w:p>
      <w:r>
        <w:t>- 5 - bestehender Haft eine Haftverlängerung anordnen (Art. 76 des Bundes- gesetzes über die Ausländerinnen und Ausländer und über die Integration vom 16. Dezember 2005 [Ausländer- und Integrationsgesetz, AIG; SR 142.20]). Zuständige kantonale Behörde im Sinne von Art. 78 Abs. 3 AIG ist bei migrationsamtlichen Wegweisungen gemäss § 13 Abs. 1 des Einfüh- rungsgesetzes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w:t>
      </w:r>
    </w:p>
    <w:p>
      <w:r>
        <w:rPr>
          <w:b/>
        </w:rPr>
        <w:t>E. 2.1</w:t>
      </w:r>
    </w:p>
    <w:p>
      <w:r>
        <w:t>Das MIKA begründet die Haftverlängerung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wies den Gesuchsgegner mit mittlerweile rechtskräftigem Ent- scheid vom 6. Dezember 2023 aus der Schweiz weg (MI-act. 46 ff., 53). Zudem wurde der Gesuchsgegner mit rechtskräftigem Urteil des Bezirks- gerichts Lenzburg vom 27. Juni 2024 für zwölf Jahre des Landes verwiesen (MI-act. 358 ff., 392). Damit liegt nicht nur eine erstinstanzliche, sondern sogar eine rechtskräftige Landesverweisung sowie ein rechtskräftiger Weg- weisungsentscheid vor. Die Voraussetzung von Art. 76 Abs. 1 AIG ist damit erfüllt.</w:t>
      </w:r>
    </w:p>
    <w:p>
      <w:r>
        <w:rPr>
          <w:b/>
        </w:rPr>
        <w:t>E. 2.3</w:t>
      </w:r>
    </w:p>
    <w:p>
      <w:r>
        <w:t>Gemäss Art. 80 Abs. 6 lit. a AIG ist die Haft zu beenden, wenn sich erweist, dass der Vollzug der Wegweisung aus rechtlichen oder tatsächlichen Grün- den undurchführbar ist. Der Vertreter des Gesuchsgegners bringt vor, dem Gesuchsgegner drohe im Falle der Rückkehr der Tod, weil Terrorgruppen, gegen die er während seines Militärdienstes gekämpft habe, aktiv auf der Suche nach ihm seien und ihn töten wollen (act. 14 f.). Hierfür habe der Gesuchsgegner am 10. Juni 2025 auch ein Wiedererwägungsgesuch beim SEM eingereicht (act. 15).</w:t>
      </w:r>
    </w:p>
    <w:p>
      <w:r>
        <w:t>- 6 - Die Ausführungen des Gesuchsgegners sind dieselben, die er bereits im Rahmen des Asylverfahrens vorgebracht hatte (MI-act. 32 ff.). Es ist nicht ersichtlich, dass sich seit dem negativen Asylentscheid etwas geändert hätte, was in dieser Hinsicht zu einem anderen Schluss führen müsste. Insbesondere ergeben sich keine Anhaltspunkte, wonach dem Gesuchs- gegner im Falle einer Rückkehr mit beachtlicher Wahrscheinlichkeit eine durch Art. 3 der Konvention zum Schutze der Menschenrechte und Grund- freiheiten vom 4. November 1950 (EMRK, SR 0.101) verbotene Strafe oder Behandlung droht. Daran ändert auch das beim SEM eingereichte Wieder- erwägungsgesuch nichts. Allein der Umstand, dass der Gesuchsgegner ein solches Gesuch stellt, bedeutet nicht, dass er deswegen berechtigt wäre, sich in der Schweiz aufzuhalten. Solange dem Gesuchsgegner kein proze- durales Aufenthaltsrecht erteilt wurde und solange damit gerechnet werden kann, dass über das Wiedererwägungsgesuch innert nützlicher Frist und auf jeden Fall bis zum Ablauf der maximal zulässigen Haftdauer entschie- den wird, ist von einer konkreten Vollzugsperspektive auszugehen. Auch die Tatsache, dass die algerischen Behörden die Ausstellung eines Ersatzreisedokuments einstweilen verneint haben, um das Dossier ein- gehender zu prüfen, und noch unklar ist, ob ein Ersatzreisedokument aus- gestellt werden wird, macht die Durchführung der Wegweisung nicht un- möglich. Vielmehr ist nach wie vor davon auszugehen, dass in absehbarer Zeit eine realistische Chance auf die Ausstellung eines Ersatzreisedoku- ments besteht. Demnach ist trotz des noch offenen Ausgangs des durch- geführten konsularischen Gesprächs weiterhin von einer positiven Vol- lzugsperspektive auszugehen. Weitere Anzeichen, die an der Ausschaffungsmöglichkeit in rechtlicher oder tatsächlicher Hinsicht Zweifel aufkommen lassen würden, sind eben- falls keine ersichtlich.</w:t>
      </w:r>
    </w:p>
    <w:p>
      <w:r>
        <w:rPr>
          <w:b/>
        </w:rPr>
        <w:t>E. 3</w:t>
      </w:r>
    </w:p>
    <w:p>
      <w:r>
        <w:t>Die mit Urteil vom 29. April 2025 festgestellten Haftgründe bestehen nach wie vor (vgl. WPR.2025.41, Erw. II/3.1 und 3.2; MI-act. 513 ff.).</w:t>
      </w:r>
    </w:p>
    <w:p>
      <w:r>
        <w:rPr>
          <w:b/>
        </w:rPr>
        <w:t>E. 4</w:t>
      </w:r>
    </w:p>
    <w:p>
      <w:r>
        <w:t>Bezüglich der Haftbedingungen liegen keine Beanstandungen vor.</w:t>
      </w:r>
    </w:p>
    <w:p>
      <w:r>
        <w:rPr>
          <w:b/>
        </w:rPr>
        <w:t>E. 5</w:t>
      </w:r>
    </w:p>
    <w:p>
      <w:r>
        <w:t>Es liegen auch keine Anzeichen dafür vor, dass das MIKA dem Beschleu- nigungsgebot (Art. 76 Abs. 4 AIG) nicht ausreichend Beachtung geschenkt hätte.</w:t>
      </w:r>
    </w:p>
    <w:p>
      <w:r>
        <w:t>- 7 -</w:t>
      </w:r>
    </w:p>
    <w:p>
      <w:r>
        <w:rPr>
          <w:b/>
        </w:rPr>
        <w:t>E. 6.1</w:t>
      </w:r>
    </w:p>
    <w:p>
      <w:r>
        <w:t>Gemäss Art. 79 Abs. 1 AIG darf die ausländerrechtliche Inhaftierung im Sinne von Art. 75–78 AIG zusammen die maximale Haftdauer von sechs Monaten nicht überschreiten. Eine darüber hinausgehende Verlängerung auf höchstens 18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mit Ablauf der bewilligten Haft bereits seit drei Monaten in ausländerrechtlicher Haft im Sinne von Art. 75–78 AIG (Ausschaffungshaft 7. Mai 2025 bis 6. August 2025). Die sechsmonatige Frist wird damit am 6. November 2025 enden.</w:t>
      </w:r>
    </w:p>
    <w:p>
      <w:r>
        <w:rPr>
          <w:b/>
        </w:rPr>
        <w:t>E. 6.3</w:t>
      </w:r>
    </w:p>
    <w:p>
      <w:r>
        <w:t>Das MIKA ordnete die Verlängerung der Ausschaffungshaft um weitere drei Monate, d. h. bis zum 6. November 2025, an.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 hältnismässigkeit verstossen würde. Eine mildere Massnahme zur Sicher- stellung des Vollzugs der Wegweisung ist nicht ersichtlich. Bezüglich der familiären Verhältnisse ergeben sich keine Anhaltspunkte, welche gegen eine Haftverlängerung sprechen würden. Der Gesuchsgegner macht auch nicht geltend, er sei nicht hafterstehungsfähig. Der Einwand des Gesuchsgegner, er sei aus der Haft zu entlassen, da er nach der Haftentlassung heiraten wolle, ist nicht weiter begründet (act. 14). Gemäss geltender Rechtsprechung kann sich die Ausschaffungshaft bei einer bevorstehenden Heirat als unverhältnismässig erweisen, wenn sämt-</w:t>
      </w:r>
    </w:p>
    <w:p>
      <w:r>
        <w:t>- 8 - liche notwendigen Papiere vorliegen, ein Heiratstermin feststeht und innert kurzer Frist mit der Erteilung einer Aufenthaltsbewilligung zu rechnen ist (vgl. Urteil des Bundesgerichts 2C_218/2013 vom 26. März 2013, Erw. 5.2; 2C_150/2012 vom 14. Februar 2012, Erw. 2.2.2 mit weiteren Hinweisen). Vorliegend liegen keinerlei Belege dafür vor, dass sämtliche notwendigen Papiere vorliegen, ein Heiratstermin feststeht oder überhaupt ein zivilrecht- liches Vorbereitungsverfahren eingeleitet worden wäre. Die Haft erweist sich demnach im Hinblick auf eine allfällige Heirat nicht als unverhältnis- mässig. Insgesamt sind keinerlei Gründe ersichtlich, welche die Verlängerung der Haft als unverhältnismässig erscheinen liessen. III. 1. Gemäss § 28 Abs. 1 EGAR ist das Verfahren betreffend Haftüberprüfung unentgeltlich. Demgemäss werden keine Kosten erhoben. 2. Der mit Urteil vom 29. April 2025 bestätigte amtliche Rechtsvertreter bleibt im Amt und kann seine Kostennote im Rahmen des Verfahrens WPR.2025.41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