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WPR.2025.63 vom 3. Juli 2025</w:t>
      </w:r>
    </w:p>
    <w:p>
      <w:r>
        <w:t>AG Verwaltungsgericht, 2025-07-03, DE</w:t>
      </w:r>
    </w:p>
    <w:p>
      <w:r>
        <w:rPr>
          <w:b/>
        </w:rPr>
        <w:t xml:space="preserve">Quelle: </w:t>
      </w:r>
      <w:r>
        <w:t>https://mcp.opencaselaw.ch/entscheid/ag_verwaltungsgericht_WPR.2025.63</w:t>
      </w:r>
    </w:p>
    <w:p>
      <w:r>
        <w:t>FR: AG_VERWALTUNGSGERICHT WPR.2025.63 du 3 juillet 2025</w:t>
      </w:r>
    </w:p>
    <w:p>
      <w:r>
        <w:t>IT: AG_VERWALTUNGSGERICHT WPR.2025.63 del 3 luglio 2025</w:t>
      </w:r>
    </w:p>
    <w:p>
      <w:pPr>
        <w:pStyle w:val="Heading2"/>
      </w:pPr>
      <w:r>
        <w:t>Erwägungen</w:t>
      </w:r>
    </w:p>
    <w:p>
      <w:r>
        <w:rPr>
          <w:b/>
        </w:rPr>
        <w:t>E. 2</w:t>
      </w:r>
    </w:p>
    <w:p>
      <w:r>
        <w:t>Kammer WPR.2025.63 / vk / Bu ZEMIS [***]; N [***] Urteil vom 3. Juli 2025 Besetzung Verwaltungsrichter Busslinger, Vorsitz Gerichtsschreiberin i.V. Kuzmanović Gesuchsteller Amt für Migration und Integration Kanton Aargau, Sektion Asyl und Rückkehr, Bahnhofstrasse 88, 5001 Aarau vertreten durch lic. iur. Silvio Siegrist, Bahnhofstrasse 88, 5001 Aarau Gesuchsgegner A._____, geboren am tt.mm.jjjj, von der Türkei z.Zt. im Bezirksgefängnis, 5000 Aarau amtlich vertreten durch lic. iur. Martin Leiser, Rechtsanwalt, Bahnhofstrasse 24, 5000 Aarau Gegenstand Ausschaffungshaft gestützt auf Art. 76 AIG / Haftüberprüfung</w:t>
      </w:r>
    </w:p>
    <w:p>
      <w:r>
        <w:t>- 2 - Der Einzelrichter entnimmt den Akten: A. Der Gesuchsgegner stellte am 8. Oktober 2023 ein Asylgesuch (Akten des Amtes für Migration und Integration Kanton Aargau [MI-act.] 13). Dieses wurde durch das Staatssekretariat für Migration (SEM) am 26. August 2024 abgelehnt (MI-act. 11 ff.) und der Gesuchsgegner gleichzeitig durch das SEM aus der Schweiz weggewiesen (MI-act. 18). Die dagegen erhobene Beschwerde an das Bundesverwaltungsgericht wurde mit Urteil D-6026/2024 vom 16. Dezember 2024 abgewiesen (MI-act. 24 ff.). Mit Schreiben vom 19. Dezember 2024 setzte das SEM dem Gesuchsgegner eine neue Ausreisefrist auf den 1. Januar 2025 an (MI-act. 21 ff.). Anlässlich des Ausreisegesprächs mit dem Amt für Migration und Inte- gration Kanton Aargau (MIKA) vom 21. Februar 2025 weigerte sich der Gesuchsgegner, in sein Heimatland zurückzukehren (MI-act. 40 f.). Dies im Gegensatz zur Mutter und Schwester des Gesuchsgegners, deren gleich- zeitig gestellte Asylgesuche ebenfalls abgelehnt wurden, die aber in der Zwischenzeit freiwillig in die Türkei zurückgekehrt sind (MI-act. 50). Im Auftrag des MIKA wurde der Gesuchsgegner am 2. Juli 2025, 11.25 Uhr, durch die Kantonspolizei Aargau in seiner Unterkunft ange- halten und festgenommen (act. 2). B. Im Rahmen der Befragung durch das MIKA wurde dem Gesuchsgegner am</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Das SEM hat den Gesuchsgegner mit Verfügung vom 26. August 2024 aus der Schweiz sowie dem Schengen-Raum weggewiesen (MI-act. 11 ff.). Dieser Entscheid ist am 16. Dezember 2024 in Rechtskraft erwachsen (MI- act. 24 ff.), womit ein rechtsgenüglicher Wegweisungsentscheid vorliegt.</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w:t>
      </w:r>
    </w:p>
    <w:p>
      <w:r>
        <w:rPr>
          <w:b/>
        </w:rPr>
        <w:t>E. 3</w:t>
      </w:r>
    </w:p>
    <w:p>
      <w:r>
        <w:t>Die Haft wird im Zentrum für ausländerrechtliche Administrativhaft Zürich (ZAA) oder im Gefängnis Bässlergut vollzogen. Soweit für die Befragung oder die Durchführung einer Haftverhandlung zwingend, erfolgt die Inhaf- tierung für die notwendige Dauer im Bezirksgefängnis Aarau.</w:t>
      </w:r>
    </w:p>
    <w:p>
      <w:r>
        <w:t>- 3 - C. Anlässlich der heutigen Verhandlung vor dem Einzelrichter des Verwal- tungsgerichts wurden der Gesuchsteller und der Gesuchsgegner befragt. D. Der Gesuchsteller beantragte die Bestätigung der Haftanordnung (Proto- koll S. 4, act. 27). Der Gesuchsgegner liess folgende Anträge stellen (Protokoll S. 4, act. 27): 1. Die mit Verfügung vom 03.07.2025 des Amts für Migration und Integration (MIKA) angeordnete Ausschaffungshaft nach Art. 76 AIG für drei Monate sei nicht zu bestätigen. 2. Eventualiter sei die Ausschaffungshaft dem Verhältnismässigkeitsprinzip folgend für einen Monat zu erteilen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 ginnt mit der ausländerrechtlich motivierten Anhaltung der betroffenen Person zu laufen (vgl. BGE 127 II 174, Erw. 2. b/aa). 2. Im vorliegenden Fall wurde der Gesuchsgegner am 2. Juli 2025, 11.25 Uhr, angehalten. Die mündliche Verhandlung begann am 3. Juli 2025, 11.30 Uhr; das Urteil wurde um 12.05 Uhr eröffnet. Die richterliche Haft- überprüfung erfolgte somit innerhalb der Frist von 96 Stunden. II. 1. Wurde ein erstinstanzlicher Weg- oder Ausweisungsentscheid eröffnet oder wurde die betroffene Person mit einer erstinstanzlichen Landes- verweisung belegt, kann die zuständige kantonale Behörde die betroffene Person zur Sicherstellung des Vollzugs in Haft nehmen (Art. 76 AIG).</w:t>
      </w:r>
    </w:p>
    <w:p>
      <w:r>
        <w:t>- 4 - Zuständige kantonale Behörde im Sinne von Art. 76 Abs. 1 AIG ist bei migrationsamtlichen Wegweisungen gemäss § 13 Abs. 1 EGAR und bei Landesverweisungen gemäss § 89 der Verordnung über den Vollzug von Strafen und Massnahmen vom 23. September 2020 (Strafvollzugsver- ordnung,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 sagen zu beurteilen. Auch wenn einzelne Fakten für sich eine Ausschaf-</w:t>
      </w:r>
    </w:p>
    <w:p>
      <w:r>
        <w:t>- 5 - fungshaft nicht rechtfertigen, kann dies aufgrund der Gesamtheit der Vor- kommnisse der Fall sein. Erforderlich sind gewichtige Anhaltspunkte dafür, dass die betroffene Person sich der Ausschaffung entziehen und unter- tauchen will. Die blosse Vermutung, dass sie sich der Wegweisung ent- ziehen könnte, genügt nicht; deren Vollzug muss erheblich gefährdet er- 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 mentar Migrationsrecht, 5. Aufl., Zürich 2019, N. 7 zu Art. 76 AIG; JANINE SERT, in: Caroni/Thurnherr [Hrsg.], Stämpflis Handkommentar zum Auslän- der- und Integrationsgesetz [AIG], 2. Aufl., Bern 2024, N. 17 zu Art. 76).</w:t>
      </w:r>
    </w:p>
    <w:p>
      <w:r>
        <w:rPr>
          <w:b/>
        </w:rPr>
        <w:t>E. 3.2</w:t>
      </w:r>
    </w:p>
    <w:p>
      <w:r>
        <w:t>Der Gesuchsgegner hat sich anlässlich des Ausreisegesprächs vom 21. Februar 2025 dahingehend geäussert, dass er nicht gewillt sei, in die Türkei zurückzukehren (MI-act. 40 f). Wie das MIKA in der Haftanordnung richtig ausführt, ist hierin nach der Rechtsprechung des Bundesgerichts grundsätzlich ein Anzeichen für das Vorliegen einer Untertauchensgefahr zu sehen (BGE 140 II 1, Erw. 5.3). Massgebend für die Beurteilung, ob Untertauchensgefahr vorliegt, ist jedoch nicht eine einzelne Aussage. Viel- mehr sind sämtliche Aussagen und das gesamte Verhalten der Betroffenen Person zu berücksichtigen. Anlässlich der heutigen Gewährung des recht- lichen Gehörs sowie der Verhandlung erklärte sich der Gesuchsgegner durchwegs bereit, die Schweiz in Richtung Türkei zu verlassen. Dabei erklärte er zunächst, dass er die Aussage im Februar 2025 anlässlich des Ausreisegesprächs nur getätigt habe, weil er mehr Zeit mit seiner Freundin in der Schweiz habe verbringen wollen. Anschliessend führte er aus, wes- halb er bei einer Haftentlassung nicht untertauchen werde, wobei Begrün- dung plausibel scheint und nicht als blosse Schutzbehauptung zu werten ist. Er konnte insbesondere überzeugend darlegen, dass er nach seiner Rückkehr in die Türkei eine legale Einreise in die Schweiz mittels eines Visums anstrebe, um seine in der Schweiz wohnhafte Freundin zu be- suchen. Es sei deshalb nicht in seinem Sinn, nach der Entlassung unter- zutauchen und ein Einreiseverbot zu riskieren. Unter Berücksichtigung sämtlicher Aussagen des Gesuchsgegners sowie des Umstandes, dass dessen Weigerung, in sein Heimatland zurückzu-</w:t>
      </w:r>
    </w:p>
    <w:p>
      <w:r>
        <w:t>- 6 - kehren, bereits mehrere Monate zurückliegt, und er sowohl im Rahmen des Gesprächs zur Gewährung des rechtlichen Gehörs gegenüber dem MIKA als auch anlässlich der heutigen Verhandlung seine Bereitschaft zur freiwilligen Rückkehr klar bekundet und plausibel begründet hat, kann derzeit nicht mehr von einer hinreichend konkreten Untertauchensgefahr ausgegangen werden. Nichts anderes ergibt eine Beurteilung des übrigen bisherigen Verhaltens des Gesuchsgegners. Insbesondere spricht der Umstand, dass er sich – soweit ersichtlich – bisher stets bei der ihm zugewiesenen Unterkunft aufgehalten hat und nie unbekannten Aufenthalts war (Protokoll S. 3 f., act. 26 f.), gegen das Vorliegen einer Untertauchensgefahr (vgl. Urteil des Bundesgerichts 2C_478/2012 vom 14. Juni 2012, Erw. 2.2). Auch der Umstand, dass der Gesuchsgegner im Auftrag des MIKA verhaftet und zu- geführt wurde, spricht nicht für eine Untertauchensgefahr, da der Gesuchs- gegner bislang sämtlichen Vorladungen Folge geleistet hatte, womit die Verhaftung und polizeiliche Zuführung offensichtlich nicht notwendig war. Insgesamt ist daher festzustellen, dass keine hinreichend konkreten Anzei- chen für das Vorliegen einer Untertauchensgefahr bestehen und der Haftgrund von Art. 76 Abs. 1 lit. b Ziff. 3 und 4 AIG somit nicht erfüllt ist. Da darüber hinaus kein weiterer Haftgrund ersichtlich ist, ist die angeordnete Ausschaffungshaft nicht zu bestätigen und der Gesuchsgegner unver- züglich aus der Haft zu entlassen.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