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WPR.2025.62 vom 2. Juli 2025</w:t>
      </w:r>
    </w:p>
    <w:p>
      <w:r>
        <w:t>AG Verwaltungsgericht, 2025-07-02, DE</w:t>
      </w:r>
    </w:p>
    <w:p>
      <w:r>
        <w:rPr>
          <w:b/>
        </w:rPr>
        <w:t xml:space="preserve">Quelle: </w:t>
      </w:r>
      <w:r>
        <w:t>https://mcp.opencaselaw.ch/entscheid/ag_verwaltungsgericht_WPR.2025.62</w:t>
      </w:r>
    </w:p>
    <w:p>
      <w:r>
        <w:t>FR: AG_VERWALTUNGSGERICHT WPR.2025.62 du 2 juillet 2025</w:t>
      </w:r>
    </w:p>
    <w:p>
      <w:r>
        <w:t>IT: AG_VERWALTUNGSGERICHT WPR.2025.62 del 2 luglio 2025</w:t>
      </w:r>
    </w:p>
    <w:p>
      <w:pPr>
        <w:pStyle w:val="Heading2"/>
      </w:pPr>
      <w:r>
        <w:t>Erwägungen</w:t>
      </w:r>
    </w:p>
    <w:p>
      <w:r>
        <w:rPr>
          <w:b/>
        </w:rPr>
        <w:t>E. 2</w:t>
      </w:r>
    </w:p>
    <w:p>
      <w:r>
        <w:t>Die Haft begann am 1. Juli 2025, 11:10 Uhr. Sie wird in Anwendung von Art. 76 AIG für drei Monate bis zum 30. September 2025, 12.00 Uhr, angeordnet.</w:t>
      </w:r>
    </w:p>
    <w:p>
      <w:r>
        <w:rPr>
          <w:b/>
        </w:rPr>
        <w:t>E. 2.1</w:t>
      </w:r>
    </w:p>
    <w:p>
      <w:r>
        <w:t>Das MIKA begründet seine Haftanordnung damit, dass es den Gesuchsgegner aus der Schweiz ausschaffen und mit der Haft den Vollzug sicherstellen wolle. Der Haftzweck ist damit erstellt.</w:t>
      </w:r>
    </w:p>
    <w:p>
      <w:r>
        <w:t>- 5 -</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19. April 2024 lehnte das SEM das erste Asylgesuch des Gesuchsgegners ab und wies ihn aus der Schweiz weg (MI-act. 17 ff.). Der negative Asylentscheid erwuchs am 23. Mai 2024 in Rechtskraft (MI- act. 28). Am 1. Dezember 2024 reichte der Gesuchsgegner beim SEM ein Mehrfachasylgesuch ein (MI-act. 57). Mit Entscheid vom 14. Februar 2025 wies das SEM das Mehrfachasylgesuch ab und wies den Gesuchsgegner aus der Schweiz weg (MI-act. 78 ff.). Nachdem das Bundesverwaltungs- gericht auf die dagegen erhobene Beschwerde infolge Nichtleistung des Kostenvorschusses mit Urteil vom 10. April 2025 nicht eingetreten war, erwuchs der Wegweisungsentscheid des SEM in Rechtskraft (MI- act. 145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w:t>
      </w:r>
    </w:p>
    <w:p>
      <w:r>
        <w:rPr>
          <w:b/>
        </w:rPr>
        <w:t>E. 3</w:t>
      </w:r>
    </w:p>
    <w:p>
      <w:r>
        <w:t>Dem Gesuchsgegner sei die Auflage zu erteilen, sich wöchentlich beim MIKA zu melden.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w:t>
      </w:r>
    </w:p>
    <w:p>
      <w:r>
        <w:t>- 6 -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Zürich 2019, N. 7 zu Art. 76 AIG; JANINE SERT, in: Caroni/Thurnherr [Hrsg.], Stämpflis Handkommentar zum Ausländer- und Integrationsgesetz [AIG], 2. Aufl., Bern 2024, N. 17 zu Art. 76). Der Gesuchsgegner war aufgrund der Wegweisungsverfügung des SEM vom 19. April 2024 verpflichtet, die Schweiz zu verlassen (MI-act. 17 ff.). Ab dem 23. Mai 2024 war er unbekannten Aufenthalts (MI-act. 33). Am 26. September 2024 sprach er zwar wieder beim MIKA vor und kam behördlichen Vorladungen seither jeweils nach (siehe vorne lit. A). Jedoch äusserte er mehrfach, dass er nicht bereit sei, in die Türkei zurückzukehren (MI-act. 48 ff.). Zur Sicherstellung des Wegweisungsvollzugs ordnete das MIKA daher am 21. Oktober 2024 eine Eingrenzung auf das Gebiet des Kantons Aargau an (MI-act. 39). Nachdem der Gesuchsgegner am 1. Dezember 2024 ein Mehr- fachasylgesuch gestellt hatte, wies das SEM das MIKA an, vom Vollzug der Wegweisung einstweilen abzusehen (MI-act. 57). Am 28. Januar 2025 hob das MIKA die Eingrenzung auf und informierte den Gesuchsgegner darüber, dass er den Ausgang des Asylverfahrens in der Schweiz abwarten dürfe (MI-act. 64). Mit Entscheid vom 14. Februar 2025 wies das SEM das Mehrfach- asylgesuch ab und verpflichtete den Gesuchsgegner, die Schweiz spätestens am Tag nach Eintritt der Rechtskraft des Entscheids zu verlassen (MI-act. 78, 85). Am 10. April 2025 erwuchs der negative Asyl- entscheid in Rechtskraft, womit der Gesuchsgegner verpflichtet gewesen wäre, die Schweiz spätestens am 11. April 2025 zu verlassen (MI-act. 145). Trotz der nunmehr zweiten rechtskräftigen Wegweisung verblieb der Gesuchsgegner weiter in der Schweiz. Er kam den Vorladungen des MIKA zwar weiterhin nach, äusserte jedoch konstant, nicht aus der Schweiz ausreisen zu wollen (MI-act. 203 ff.). Auch anlässlich der heutigen Verhandlung verneinte der Gesuchsgegner die Frage, ob er bereit sei, in die Türkei zurückzukehren (Protokoll S. 3, act. 34). In dieser insgesamt konsequenten Weigerung, seiner Ausreisepflicht nachzukommen, ist ein klares Anzeichen dafür zu erkennen, dass sich der Gesuchsgegner der</w:t>
      </w:r>
    </w:p>
    <w:p>
      <w:r>
        <w:t>- 7 - Ausschaffung entziehen will (vgl. BGE 130 II 377, Erw. 3.2.2). Darüber hinaus ist bei einem bereits zuvor erfolgten Untertauchen nach bundes- gerichtlicher Rechtsprechung regelmässig von einer weiter bestehenden Untertauchensgefahr auszugehen (BGE 140 II 1, Erw. 5.3). Damit ist der Haftgrund von Art. 76 Abs. 1 lit. b Ziff. 3 und 4 AIG erfüllt.</w:t>
      </w:r>
    </w:p>
    <w:p>
      <w:r>
        <w:rPr>
          <w:b/>
        </w:rPr>
        <w:t>E. 3.2</w:t>
      </w:r>
    </w:p>
    <w:p>
      <w:r>
        <w:t>Im Weiteren stützt das MIKA seine Haftanordnung auf Art. 76 Abs. 1 lit. b Ziff. 1 i.V.m. Art. 75 Abs. 1 lit. b AIG, wonach eine Person zur Sicherstellung des Vollzugs der Wegweisung in Haft genommen werden kann, wenn sie ein ihr nach Art. 74 AIG zugewiesenes Gebiet verlässt. Mit Verfügung vom 21. Oktober 2024 ordnete das MIKA die Eingrenzung des Gesuchsgegners auf das Gebiet des Kantons Aargau an (MI- act. 39 ff.). Der Gesuchsgegner wurde sowohl mit Strafbefehl der Staatsanwaltschaft Solothurn vom 9. Januar 2025 (MI-act. 87 f.) als auch mit Strafbefehl der Staatsanwaltschaft Zürich – Sihl vom 27. Januar 2025 (MI-act. 106 ff.) rechtskräftig wegen Missachtung der gegen ihn verhängten Eingrenzung verurteilt. Damit ist der Haftgrund von Art. 76 Abs. 1 lit. b Ziff. 1 i.V.m. Art. 75 Abs. 1 lit. b AIG erfüllt.</w:t>
      </w:r>
    </w:p>
    <w:p>
      <w:r>
        <w:rPr>
          <w:b/>
        </w:rPr>
        <w:t>E. 3.3</w:t>
      </w:r>
    </w:p>
    <w:p>
      <w:r>
        <w:t>Nach dem Gesagten steht fest, dass die Haftgründe gemäss Art. 76 Abs. 1 lit. b Ziff. 3 und 4 AIG (Untertauchensgefahr) und gemäss Art. 76 Abs. 1 lit. b Ziff. 1 i.V.m. Art. 75 Abs. 1 lit. b AIG (Verstoss gegen eine Gebietsbeschränkung) erfüllt sind. 4. Bezüglich der Haftbedingungen liegen keine Beanstandungen vor (Protokoll S. 4 f., act. 35).</w:t>
      </w:r>
    </w:p>
    <w:p>
      <w:r>
        <w:rPr>
          <w:b/>
        </w:rPr>
        <w:t>E. 4</w:t>
      </w:r>
    </w:p>
    <w:p>
      <w:r>
        <w:t>Der amtliche Vertreter sei aus der Staatskasse zu entschädigen.</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t>- 8 -</w:t>
      </w:r>
    </w:p>
    <w:p>
      <w:r>
        <w:rPr>
          <w:b/>
        </w:rPr>
        <w:t>E. 7</w:t>
      </w:r>
    </w:p>
    <w:p>
      <w:r>
        <w:t>Abschliessend stellt sich die Frage, ob die Haftanordnung deshalb nicht zu bestätigen sei, weil sie im konkreten Fall gegen das Prinzip der Verhältnismässigkeit verstossen würde. Dass die Ausschaffungshaft geeignet ist, den Vollzug der Wegweisung sicherzustellen, liegt auf der Hand und bedarf keiner weiteren Aus- führungen. Gleiches gilt mit Blick auf die Notwendigkeit der Anordnung einer Ausschaffungshaft (vgl. oben Erw. II/3). Eine mildere Massnahme zur Sicherstellung des Vollzugs der Wegweisung ist vorliegend überdies nicht ersichtlich. Entgegen den Vorbringen des amtlichen Vertreters des Gesuchsgegners (Protokoll S. 6, act. 37) reicht eine Meldepflicht nicht aus, da dadurch nicht sichergestellt werden kann, dass der Gesuchsgegner tatsächlich ausreisen wird. Dies gilt umso mehr, als der Gesuchsgegner bereits mehrfach gegen eine gegen ihn verfügte Eingrenzung verstossen hat (siehe vorne Erw. II/3.2). Bezüglich der familiären Verhältnisse ergeben sich keine Anhaltspunkte, welche gegen eine Haftanordnung sprechen würden. Der Gesuchsgegner macht auch nicht geltend, er sei nicht hafterstehungsfähig und führt auch sonst nicht aus, inwiefern die Haft unverhältnismässig wäre.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w:t>
      </w:r>
    </w:p>
    <w:p>
      <w:r>
        <w:t>- 9 - 2.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 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