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WPR.2025.60 vom 2. Juli 2025</w:t>
      </w:r>
    </w:p>
    <w:p>
      <w:r>
        <w:t>AG Verwaltungsgericht, 2025-07-02, DE</w:t>
      </w:r>
    </w:p>
    <w:p>
      <w:r>
        <w:rPr>
          <w:b/>
        </w:rPr>
        <w:t xml:space="preserve">Quelle: </w:t>
      </w:r>
      <w:r>
        <w:t>https://mcp.opencaselaw.ch/entscheid/ag_verwaltungsgericht_WPR.2025.60</w:t>
      </w:r>
    </w:p>
    <w:p>
      <w:r>
        <w:t>FR: AG_VERWALTUNGSGERICHT WPR.2025.60 du 2 juillet 2025</w:t>
      </w:r>
    </w:p>
    <w:p>
      <w:r>
        <w:t>IT: AG_VERWALTUNGSGERICHT WPR.2025.60 del 2 luglio 2025</w:t>
      </w:r>
    </w:p>
    <w:p>
      <w:pPr>
        <w:pStyle w:val="Heading2"/>
      </w:pPr>
      <w:r>
        <w:t>Erwägungen</w:t>
      </w:r>
    </w:p>
    <w:p>
      <w:r>
        <w:rPr>
          <w:b/>
        </w:rPr>
        <w:t>E. 2</w:t>
      </w:r>
    </w:p>
    <w:p>
      <w:r>
        <w:t>Der Gesuchsgegner sei unverzüglich, eventualiter spätestens am 14. Juli 2025 in die Freiheit zu entlassen.</w:t>
      </w:r>
    </w:p>
    <w:p>
      <w:r>
        <w:rPr>
          <w:b/>
        </w:rPr>
        <w:t>E. 2.1</w:t>
      </w:r>
    </w:p>
    <w:p>
      <w:r>
        <w:t>Das MIKA begründet die Haftverlängerung damit, dass es den Gesuchs- gegner aus der Schweiz ausschaffen und mit der Haft den Vollzug sicher- 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MIKA wies den Gesuchsgegner mit Verfügung vom 16. April 2025 rechtskräftig aus der Schweiz weg (MI-act. 212 ff.). Damit liegt ein rechts- kräftiger Wegweisungsentscheid vor. Dem Vorbringen des Vertreters des Gesuchsgegners, wonach der Wegweisungsentscheid mangelhaft, wenn nicht sogar nichtig sei, kann nicht gefolgt werden. Die Voraussetzung von Art. 76 Abs. 1 AIG ist damit erfüllt.</w:t>
      </w:r>
    </w:p>
    <w:p>
      <w:r>
        <w:rPr>
          <w:b/>
        </w:rPr>
        <w:t>E. 2.3</w:t>
      </w:r>
    </w:p>
    <w:p>
      <w:r>
        <w:t>Gemäss Art. 80 Abs. 6 lit. a AIG ist die Haft zu beenden, wenn sich erweist, dass der Vollzug der Wegweisung aus rechtlichen oder tatsächlichen Grün- den undurchführbar ist.</w:t>
      </w:r>
    </w:p>
    <w:p>
      <w:r>
        <w:rPr>
          <w:b/>
        </w:rPr>
        <w:t>E. 2.3.1</w:t>
      </w:r>
    </w:p>
    <w:p>
      <w:r>
        <w:t>Der Vertreter des Gesuchsgegners bringt vor, er bezweifle, dass eine Ausschaffung tatsächlich durchführbar sei, da in den letzten fünf Jahren kein begleiteter Flug nach Simbabwe durchgeführt worden sei. Da das SEM dem MIKA noch am 13. Juni 2025 bestätigte, dass eine Rückführung nach Simbabwe trotz fehlender Erfahrungswerte in diesem Landeskontext auf Stufe DEPA möglich sein sollte (MI-act. 300), ist derzeit davon aus- zugehen, dass die Ausschaffung möglich ist.</w:t>
      </w:r>
    </w:p>
    <w:p>
      <w:r>
        <w:rPr>
          <w:b/>
        </w:rPr>
        <w:t>E. 2.3.2</w:t>
      </w:r>
    </w:p>
    <w:p>
      <w:r>
        <w:t>Weiter bringt der Vertreter des Gesuchsgegners vor, der Vollzug der Weg- weisung des Gesuchsgegners nach Simbabwe verstosse gegen das Non- Refoulement-Gebot. So habe der Gesuchsgegner neue Umstände bzw. eine neue unmittelbare Gefährdung geltend gemacht, wonach im Jahr 2024 eine Person aus seinem näheren Umfeld umgebracht worden sei (Protokoll S. 3, act. 35). Im Asylentscheid aus dem Jahr 2023 seien diese neuen Tatsachen nicht berücksichtigt worden (Protokoll S. 5, act. 37). Einer Ausschaffung können zwar als rechtliche Haftbeendigungsgründe das Non-Refoulement-Gebot oder die Unzumutbarkeit des Vollzugs ent- gegenstehen, falls die ausländische Person im Heimatstaat einer konkreten Gefährdung ausgesetzt wäre. Diesbezüglich ist im Rahmen des Haftent- scheids jedoch nur zu prüfen, ob der zu sichernde Wegweisungsentscheid als augenfällig unzulässig bzw. derart offensichtlich unzulässig erscheint, dass er sich letztlich als nichtig erweist (BGE 125 II 217, Erw. 2). Die während der Verhandlung getätigte Aussage des Gesuchsgegners, wonach ein Freund von ihm im September 2024 in Simbabwe umgebracht</w:t>
      </w:r>
    </w:p>
    <w:p>
      <w:r>
        <w:t>- 6 - worden sei, als er von Botswana für die Hochzeit seiner Tochter angereist sei, ist nicht weiter belegt. Vor diesem Hintergrund liegen zumindest keine offensichtlichen Hinweise vor, die darauf schliessen lassen würden, der Gesuchsgegner könne aufgrund des Umstandes, dass durch den Vollzug des Wegweisungsentscheides sein Leben oder seine Freiheit wegen seiner Rasse, Religion, Nationalität, Zugehörigkeit zu einer bestimmten sozialen Gruppe oder seiner politischen Anschauungen gefährdet wäre, nicht in seinen Heimatstaat ausgeschafft werden. Dies umso weniger als sich der Gesuchsgegner selbst nicht mehr gegen eine Rückkehr nach Simbabwe sperrt. Damit erweist sich der zu sichernde Wegweisungsentscheid des MIKA vom 16. April 2025 auch mit den neuen Tatsachen nicht als derart offensichtlich unzulässig, dass er sich letztlich als nichtig erweisen würde. Anzumerken bleibt, dass allfällige neue erhebliche Tatsachen im Rahmen eines Wiedererwägungsgesuchs beim SEM vorgebracht werden können. Entgegen den Vorbringen des Rechtsvertreters sind somit keine Anzeichen vorhanden, die an der Ausschaffungsmöglichkeit in rechtlicher oder tatsächlicher Hinsicht Zweifel aufkommen lassen würden.</w:t>
      </w:r>
    </w:p>
    <w:p>
      <w:r>
        <w:rPr>
          <w:b/>
        </w:rPr>
        <w:t>E. 3</w:t>
      </w:r>
    </w:p>
    <w:p>
      <w:r>
        <w:t>Der mit Urteil vom 17. April 2025 festgestellte Haftgrund besteht nach wie vor (vgl. WPR.2025.38, Erw. II/3.1; MI-act. 248 ff.). Daran ändert das Vor- bringen des Vertreters des Gesuchsgegners nichts, wonach der Gesuchs- gegner anlässlich der Gewährung des rechtlichen Gehörs und der heutigen Verhandlung mehrmals geäussert habe, zur freiwilligen Rückkehr nach Simbabwe bereit zu sein (Protokoll S. 3 f., act. 35 f.), da der Gesuchs- gegner noch am 10. Juni 2025 den Antritt des unbegleiteten Flugs nach Simbabwe verweigerte (MI-act. 288 ff.).</w:t>
      </w:r>
    </w:p>
    <w:p>
      <w:r>
        <w:rPr>
          <w:b/>
        </w:rPr>
        <w:t>E. 4</w:t>
      </w:r>
    </w:p>
    <w:p>
      <w:r>
        <w:t>Bezüglich der Haftbedingungen liegen keine Beanstandungen vor (Proto- koll S. 4, act. 36).</w:t>
      </w:r>
    </w:p>
    <w:p>
      <w:r>
        <w:rPr>
          <w:b/>
        </w:rPr>
        <w:t>E. 5</w:t>
      </w:r>
    </w:p>
    <w:p>
      <w:r>
        <w:t>Es liegen auch keine Anzeichen dafür vor, dass das MIKA dem Be- schleunigungsgebot (Art. 76 Abs. 4 AIG) nicht ausreichend Beachtung geschenkt hätte.</w:t>
      </w:r>
    </w:p>
    <w:p>
      <w:r>
        <w:rPr>
          <w:b/>
        </w:rPr>
        <w:t>E. 6.1</w:t>
      </w:r>
    </w:p>
    <w:p>
      <w:r>
        <w:t>Gemäss Art. 79 Abs. 1 AIG darf die ausländerrechtliche Inhaftierung im Sinne von Art. 75–78 AIG zusammen die maximale Haftdauer von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w:t>
      </w:r>
    </w:p>
    <w:p>
      <w:r>
        <w:t>- 7 - die Übermittlung der für die Ausreise erforderlichen Unterlagen durch einen Staat, der kein Schengen-Staat ist, verzögert (Art. 79 Abs. 2 AIG).</w:t>
      </w:r>
    </w:p>
    <w:p>
      <w:r>
        <w:rPr>
          <w:b/>
        </w:rPr>
        <w:t>E. 6.2</w:t>
      </w:r>
    </w:p>
    <w:p>
      <w:r>
        <w:t>Im vorliegenden Fall befindet sich der Gesuchsgegner mit Ablauf der be- willigten Haft bereits seit drei Monaten in ausländerrechtlicher Haft im Sinne von Art. 75–78 AIG (Ausschaffungshaft 15. April 2025–14. Juli 2025). Die sechsmonatige Frist wird damit am 14. Oktober 2025 enden und die Haft kann längstens bis zum 14. Oktober 2026 verlängert werden.</w:t>
      </w:r>
    </w:p>
    <w:p>
      <w:r>
        <w:rPr>
          <w:b/>
        </w:rPr>
        <w:t>E. 6.3</w:t>
      </w:r>
    </w:p>
    <w:p>
      <w:r>
        <w:t>Das MIKA ordnete die Verlängerung der Ausschaffungshaft um weitere drei Monate, d.h. bis zum 14 Oktober 2025, an. Da die ausländerrechtliche Inhaftierung im Sinne von Art. 75–78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 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Insgesamt sind keinerlei Gründe ersichtlich, welche die Verlängerung der Haft als unverhältnismässig erscheinen liessen. III. 1. Gemäss § 28 Abs. 1 EGAR ist das Verfahren betreffend Haftüberprüfung unentgeltlich. Demgemäss werden keine Kosten erhoben.</w:t>
      </w:r>
    </w:p>
    <w:p>
      <w:r>
        <w:t>- 8 - 2. Der mit Urteil vom 17. April 2025 bestätigte amtliche Rechtsvertreter bleibt im Amt und kann seine Kostennote im Rahmen des Verfahrens WPR.2025.38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dem Rechtsvertreter des Gesuchsgegners ausgehändigt und dem Gesuchsteller im Anschluss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